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7D" w:rsidRDefault="00026F7D" w:rsidP="00026F7D">
      <w:pPr>
        <w:spacing w:after="12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 деятельности контрольно-счетной палаты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за 2019 год </w:t>
      </w:r>
    </w:p>
    <w:p w:rsidR="00026F7D" w:rsidRDefault="00026F7D" w:rsidP="00026F7D">
      <w:pPr>
        <w:spacing w:after="120" w:line="256" w:lineRule="auto"/>
        <w:rPr>
          <w:b/>
          <w:sz w:val="24"/>
          <w:szCs w:val="24"/>
        </w:rPr>
      </w:pPr>
    </w:p>
    <w:p w:rsidR="00026F7D" w:rsidRDefault="00026F7D" w:rsidP="00026F7D">
      <w:pPr>
        <w:tabs>
          <w:tab w:val="left" w:pos="460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Основные задачи и правовое регулирование деятельности контрольно-счетной палаты</w:t>
      </w:r>
    </w:p>
    <w:p w:rsidR="00026F7D" w:rsidRDefault="00026F7D" w:rsidP="00026F7D">
      <w:pPr>
        <w:tabs>
          <w:tab w:val="left" w:pos="567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DB378A">
        <w:rPr>
          <w:sz w:val="24"/>
          <w:szCs w:val="24"/>
        </w:rPr>
        <w:t xml:space="preserve">Контрольно-счетная палата муниципального района «Город Людиново и </w:t>
      </w:r>
      <w:proofErr w:type="spellStart"/>
      <w:r w:rsidRPr="00DB378A">
        <w:rPr>
          <w:sz w:val="24"/>
          <w:szCs w:val="24"/>
        </w:rPr>
        <w:t>Людиновский</w:t>
      </w:r>
      <w:proofErr w:type="spellEnd"/>
      <w:r w:rsidRPr="00DB378A">
        <w:rPr>
          <w:sz w:val="24"/>
          <w:szCs w:val="24"/>
        </w:rPr>
        <w:t xml:space="preserve"> район» (далее</w:t>
      </w:r>
      <w:r>
        <w:rPr>
          <w:sz w:val="24"/>
          <w:szCs w:val="24"/>
        </w:rPr>
        <w:t>-</w:t>
      </w:r>
      <w:r w:rsidRPr="00DB378A">
        <w:rPr>
          <w:sz w:val="24"/>
          <w:szCs w:val="24"/>
        </w:rPr>
        <w:t>контрольно-счетная палата</w:t>
      </w:r>
      <w:r>
        <w:rPr>
          <w:sz w:val="24"/>
          <w:szCs w:val="24"/>
        </w:rPr>
        <w:t xml:space="preserve">) в </w:t>
      </w:r>
      <w:r w:rsidRPr="00DB378A">
        <w:rPr>
          <w:sz w:val="24"/>
          <w:szCs w:val="24"/>
        </w:rPr>
        <w:t>своей деятельности  руководств</w:t>
      </w:r>
      <w:r>
        <w:rPr>
          <w:sz w:val="24"/>
          <w:szCs w:val="24"/>
        </w:rPr>
        <w:t>овалась</w:t>
      </w:r>
      <w:r w:rsidRPr="00DB378A">
        <w:rPr>
          <w:sz w:val="24"/>
          <w:szCs w:val="24"/>
        </w:rPr>
        <w:t xml:space="preserve"> Бюджетным кодексом Российской Федерации (далее</w:t>
      </w:r>
      <w:r>
        <w:rPr>
          <w:sz w:val="24"/>
          <w:szCs w:val="24"/>
        </w:rPr>
        <w:t xml:space="preserve"> </w:t>
      </w:r>
      <w:r w:rsidRPr="00DB378A">
        <w:rPr>
          <w:sz w:val="24"/>
          <w:szCs w:val="24"/>
        </w:rPr>
        <w:t>- БК РФ</w:t>
      </w:r>
      <w:r>
        <w:rPr>
          <w:sz w:val="24"/>
          <w:szCs w:val="24"/>
        </w:rPr>
        <w:t>)</w:t>
      </w:r>
      <w:r w:rsidRPr="00DB378A">
        <w:rPr>
          <w:sz w:val="24"/>
          <w:szCs w:val="24"/>
        </w:rPr>
        <w:t>, Федеральным законом от 07.02.2011 №</w:t>
      </w:r>
      <w:r>
        <w:rPr>
          <w:sz w:val="24"/>
          <w:szCs w:val="24"/>
        </w:rPr>
        <w:t xml:space="preserve"> </w:t>
      </w:r>
      <w:r w:rsidRPr="00DB378A">
        <w:rPr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района «Город Людиново и </w:t>
      </w:r>
      <w:proofErr w:type="spellStart"/>
      <w:r w:rsidRPr="00DB378A">
        <w:rPr>
          <w:sz w:val="24"/>
          <w:szCs w:val="24"/>
        </w:rPr>
        <w:t>Людиновский</w:t>
      </w:r>
      <w:proofErr w:type="spellEnd"/>
      <w:r w:rsidRPr="00DB378A">
        <w:rPr>
          <w:sz w:val="24"/>
          <w:szCs w:val="24"/>
        </w:rPr>
        <w:t xml:space="preserve"> район», утвержденным решением </w:t>
      </w:r>
      <w:proofErr w:type="spellStart"/>
      <w:r w:rsidRPr="00DB378A">
        <w:rPr>
          <w:sz w:val="24"/>
          <w:szCs w:val="24"/>
        </w:rPr>
        <w:t>Людиновского</w:t>
      </w:r>
      <w:proofErr w:type="spellEnd"/>
      <w:r w:rsidRPr="00DB378A">
        <w:rPr>
          <w:sz w:val="24"/>
          <w:szCs w:val="24"/>
        </w:rPr>
        <w:t xml:space="preserve"> Районного Собрания</w:t>
      </w:r>
      <w:r>
        <w:rPr>
          <w:sz w:val="24"/>
          <w:szCs w:val="24"/>
        </w:rPr>
        <w:t xml:space="preserve"> (далее - ЛРС)</w:t>
      </w:r>
      <w:r w:rsidRPr="00DB378A">
        <w:rPr>
          <w:sz w:val="24"/>
          <w:szCs w:val="24"/>
        </w:rPr>
        <w:t xml:space="preserve"> от</w:t>
      </w:r>
      <w:proofErr w:type="gramEnd"/>
      <w:r w:rsidRPr="00DB378A">
        <w:rPr>
          <w:sz w:val="24"/>
          <w:szCs w:val="24"/>
        </w:rPr>
        <w:t xml:space="preserve"> 25.04.2012 № 181, а также стандартами внешнего муниципального финансового контроля.</w:t>
      </w:r>
    </w:p>
    <w:p w:rsidR="00026F7D" w:rsidRDefault="00026F7D" w:rsidP="00026F7D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 рамках </w:t>
      </w:r>
      <w:r w:rsidRPr="00DB378A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DB378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DB378A">
        <w:rPr>
          <w:sz w:val="24"/>
          <w:szCs w:val="24"/>
        </w:rPr>
        <w:t xml:space="preserve"> от 07.02.2011 №</w:t>
      </w:r>
      <w:r>
        <w:rPr>
          <w:sz w:val="24"/>
          <w:szCs w:val="24"/>
        </w:rPr>
        <w:t xml:space="preserve"> </w:t>
      </w:r>
      <w:r w:rsidRPr="00DB378A">
        <w:rPr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>
        <w:rPr>
          <w:sz w:val="24"/>
          <w:szCs w:val="24"/>
        </w:rPr>
        <w:t>я</w:t>
      </w:r>
      <w:r w:rsidRPr="00DB378A">
        <w:rPr>
          <w:sz w:val="24"/>
          <w:szCs w:val="24"/>
        </w:rPr>
        <w:t xml:space="preserve"> о контрольно-счетной палате муниципального района «Город Людиново и </w:t>
      </w:r>
      <w:proofErr w:type="spellStart"/>
      <w:r w:rsidRPr="00DB378A">
        <w:rPr>
          <w:sz w:val="24"/>
          <w:szCs w:val="24"/>
        </w:rPr>
        <w:t>Людиновский</w:t>
      </w:r>
      <w:proofErr w:type="spellEnd"/>
      <w:r w:rsidRPr="00DB378A">
        <w:rPr>
          <w:sz w:val="24"/>
          <w:szCs w:val="24"/>
        </w:rPr>
        <w:t xml:space="preserve"> район», утвержденным решением </w:t>
      </w:r>
      <w:r>
        <w:rPr>
          <w:sz w:val="24"/>
          <w:szCs w:val="24"/>
        </w:rPr>
        <w:t>ЛРС</w:t>
      </w:r>
      <w:r w:rsidRPr="00DB378A">
        <w:rPr>
          <w:sz w:val="24"/>
          <w:szCs w:val="24"/>
        </w:rPr>
        <w:t xml:space="preserve"> от 25.04.2012 № 181</w:t>
      </w:r>
      <w:r>
        <w:rPr>
          <w:sz w:val="24"/>
          <w:szCs w:val="24"/>
        </w:rPr>
        <w:t xml:space="preserve"> и общих требований к стандартам внешнего государственного и муниципального контроля, утвержденным Счетной палатой Российской Федерации, контрольно-счетная палата по осуществлению внешнего финансового контроля</w:t>
      </w:r>
      <w:proofErr w:type="gramEnd"/>
      <w:r>
        <w:rPr>
          <w:sz w:val="24"/>
          <w:szCs w:val="24"/>
        </w:rPr>
        <w:t xml:space="preserve"> имеет 18 стандартов.</w:t>
      </w:r>
    </w:p>
    <w:p w:rsidR="00026F7D" w:rsidRDefault="00026F7D" w:rsidP="00026F7D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D7152">
        <w:rPr>
          <w:sz w:val="24"/>
          <w:szCs w:val="24"/>
        </w:rPr>
        <w:t>Все нормативные документы (регламент, план</w:t>
      </w:r>
      <w:r>
        <w:rPr>
          <w:sz w:val="24"/>
          <w:szCs w:val="24"/>
        </w:rPr>
        <w:t>ы</w:t>
      </w:r>
      <w:r w:rsidRPr="007D7152">
        <w:rPr>
          <w:sz w:val="24"/>
          <w:szCs w:val="24"/>
        </w:rPr>
        <w:t xml:space="preserve"> работы, стандарты</w:t>
      </w:r>
      <w:r>
        <w:rPr>
          <w:sz w:val="24"/>
          <w:szCs w:val="24"/>
        </w:rPr>
        <w:t>, положение о контрольно-счетной палате и иные документы</w:t>
      </w:r>
      <w:r w:rsidRPr="007D7152">
        <w:rPr>
          <w:sz w:val="24"/>
          <w:szCs w:val="24"/>
        </w:rPr>
        <w:t xml:space="preserve">) связанные с деятельностью контрольно-счетной </w:t>
      </w:r>
      <w:r>
        <w:rPr>
          <w:sz w:val="24"/>
          <w:szCs w:val="24"/>
        </w:rPr>
        <w:t>палаты</w:t>
      </w:r>
      <w:r w:rsidRPr="007D7152">
        <w:rPr>
          <w:sz w:val="24"/>
          <w:szCs w:val="24"/>
        </w:rPr>
        <w:t xml:space="preserve"> опубликованы на сайте администрации муниципального района</w:t>
      </w:r>
      <w:r>
        <w:rPr>
          <w:sz w:val="24"/>
          <w:szCs w:val="24"/>
        </w:rPr>
        <w:t xml:space="preserve"> (в разделе контрольно-счетная палата).</w:t>
      </w:r>
    </w:p>
    <w:p w:rsidR="00026F7D" w:rsidRPr="007D7152" w:rsidRDefault="00026F7D" w:rsidP="00026F7D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D7152">
        <w:rPr>
          <w:sz w:val="24"/>
          <w:szCs w:val="24"/>
        </w:rPr>
        <w:t xml:space="preserve"> Контрольные, экспертно-аналитические мероприятия, обеспечивающие единую систему </w:t>
      </w:r>
      <w:proofErr w:type="gramStart"/>
      <w:r w:rsidRPr="007D7152">
        <w:rPr>
          <w:sz w:val="24"/>
          <w:szCs w:val="24"/>
        </w:rPr>
        <w:t>контроля за</w:t>
      </w:r>
      <w:proofErr w:type="gramEnd"/>
      <w:r w:rsidRPr="007D7152">
        <w:rPr>
          <w:sz w:val="24"/>
          <w:szCs w:val="24"/>
        </w:rPr>
        <w:t xml:space="preserve"> исполнением бюджет</w:t>
      </w:r>
      <w:r>
        <w:rPr>
          <w:sz w:val="24"/>
          <w:szCs w:val="24"/>
        </w:rPr>
        <w:t>ов</w:t>
      </w:r>
      <w:r w:rsidRPr="007D7152">
        <w:rPr>
          <w:sz w:val="24"/>
          <w:szCs w:val="24"/>
        </w:rPr>
        <w:t xml:space="preserve"> муниципального района, городского и сельских поселений, проводились в соответствии с регламентом, стандартами и утвержденным планом работы</w:t>
      </w:r>
      <w:r>
        <w:rPr>
          <w:sz w:val="24"/>
          <w:szCs w:val="24"/>
        </w:rPr>
        <w:t>.</w:t>
      </w:r>
    </w:p>
    <w:p w:rsidR="00026F7D" w:rsidRPr="00DB378A" w:rsidRDefault="00026F7D" w:rsidP="00026F7D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        Являясь постоянно действующим органом внешнего муниципального финансового контроля, контрольно-счетная палата в своей работе основыва</w:t>
      </w:r>
      <w:r>
        <w:rPr>
          <w:sz w:val="24"/>
          <w:szCs w:val="24"/>
        </w:rPr>
        <w:t>лась</w:t>
      </w:r>
      <w:r w:rsidRPr="00DB378A">
        <w:rPr>
          <w:sz w:val="24"/>
          <w:szCs w:val="24"/>
        </w:rPr>
        <w:t xml:space="preserve"> на принципах законности, объективности, эффективности, независимости и гласности.</w:t>
      </w:r>
    </w:p>
    <w:p w:rsidR="00026F7D" w:rsidRPr="00DB378A" w:rsidRDefault="00026F7D" w:rsidP="00026F7D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         Фактическая численность работников контрольно-счетной палаты состоит из двух человек, имеющих высшее финансово-экономическое образование. </w:t>
      </w:r>
      <w:r>
        <w:rPr>
          <w:sz w:val="24"/>
          <w:szCs w:val="24"/>
        </w:rPr>
        <w:t xml:space="preserve">Расходы на содержание контрольно-счетной палаты в 2019 году составили в объеме </w:t>
      </w:r>
      <w:r w:rsidRPr="00A1331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A13310">
        <w:rPr>
          <w:i/>
          <w:sz w:val="24"/>
          <w:szCs w:val="24"/>
        </w:rPr>
        <w:t xml:space="preserve">870 </w:t>
      </w:r>
      <w:r w:rsidRPr="000530A8"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026F7D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Приоритетной задачей контрольно-счетной палаты являлось и является осуществление контроля за законным и эффективным использованием бюджетных средств, муниципального имущества</w:t>
      </w:r>
      <w:r>
        <w:rPr>
          <w:sz w:val="24"/>
          <w:szCs w:val="24"/>
        </w:rPr>
        <w:t>, а также</w:t>
      </w:r>
      <w:r w:rsidRPr="00DB378A">
        <w:rPr>
          <w:sz w:val="24"/>
          <w:szCs w:val="24"/>
        </w:rPr>
        <w:t xml:space="preserve"> проведение комплекса контрольных и экспертно-аналитических мероприятий, связанных с решением задач, вытекающих из требований законодательства Российской Федерации.</w:t>
      </w:r>
    </w:p>
    <w:p w:rsidR="00026F7D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397163">
        <w:rPr>
          <w:sz w:val="24"/>
          <w:szCs w:val="24"/>
        </w:rPr>
        <w:t xml:space="preserve">План работы на 2019 год был сформирован исходя из необходимости реализации возложенных на </w:t>
      </w:r>
      <w:r>
        <w:rPr>
          <w:sz w:val="24"/>
          <w:szCs w:val="24"/>
        </w:rPr>
        <w:t>контрольно-счетную палату</w:t>
      </w:r>
      <w:r w:rsidRPr="00397163">
        <w:rPr>
          <w:sz w:val="24"/>
          <w:szCs w:val="24"/>
        </w:rPr>
        <w:t xml:space="preserve"> полномочий</w:t>
      </w:r>
      <w:r>
        <w:rPr>
          <w:sz w:val="24"/>
          <w:szCs w:val="24"/>
        </w:rPr>
        <w:t>,</w:t>
      </w:r>
      <w:r w:rsidRPr="00397163">
        <w:rPr>
          <w:sz w:val="24"/>
          <w:szCs w:val="24"/>
        </w:rPr>
        <w:t xml:space="preserve"> определенных законодательными нормативными актами</w:t>
      </w:r>
      <w:r w:rsidRPr="00DB378A">
        <w:rPr>
          <w:sz w:val="24"/>
          <w:szCs w:val="24"/>
        </w:rPr>
        <w:t>.</w:t>
      </w:r>
    </w:p>
    <w:p w:rsidR="00026F7D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В соответствии с предоставленными полномочиями контрольно-счетная палата в </w:t>
      </w:r>
      <w:r>
        <w:rPr>
          <w:sz w:val="24"/>
          <w:szCs w:val="24"/>
        </w:rPr>
        <w:t>отчетном периоде обеспечила выполнение всех</w:t>
      </w:r>
      <w:r w:rsidRPr="00DB378A">
        <w:rPr>
          <w:sz w:val="24"/>
          <w:szCs w:val="24"/>
        </w:rPr>
        <w:t xml:space="preserve"> контрольн</w:t>
      </w:r>
      <w:r>
        <w:rPr>
          <w:sz w:val="24"/>
          <w:szCs w:val="24"/>
        </w:rPr>
        <w:t>ых и</w:t>
      </w:r>
      <w:r w:rsidRPr="00DB378A">
        <w:rPr>
          <w:sz w:val="24"/>
          <w:szCs w:val="24"/>
        </w:rPr>
        <w:t xml:space="preserve"> экспертно-аналитическ</w:t>
      </w:r>
      <w:r>
        <w:rPr>
          <w:sz w:val="24"/>
          <w:szCs w:val="24"/>
        </w:rPr>
        <w:t xml:space="preserve">их </w:t>
      </w:r>
      <w:r>
        <w:rPr>
          <w:sz w:val="24"/>
          <w:szCs w:val="24"/>
        </w:rPr>
        <w:lastRenderedPageBreak/>
        <w:t>мероприятий, предусмотренных</w:t>
      </w:r>
      <w:r w:rsidRPr="00DB378A">
        <w:rPr>
          <w:sz w:val="24"/>
          <w:szCs w:val="24"/>
        </w:rPr>
        <w:t xml:space="preserve"> Планом работы, утвержденным Приказом от 26.12.201</w:t>
      </w:r>
      <w:r>
        <w:rPr>
          <w:sz w:val="24"/>
          <w:szCs w:val="24"/>
        </w:rPr>
        <w:t>8</w:t>
      </w:r>
      <w:r w:rsidRPr="00DB378A">
        <w:rPr>
          <w:sz w:val="24"/>
          <w:szCs w:val="24"/>
        </w:rPr>
        <w:t xml:space="preserve"> № 8-А</w:t>
      </w:r>
      <w:r>
        <w:rPr>
          <w:sz w:val="24"/>
          <w:szCs w:val="24"/>
        </w:rPr>
        <w:t xml:space="preserve">. </w:t>
      </w:r>
    </w:p>
    <w:p w:rsidR="00026F7D" w:rsidRPr="00DB378A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397163">
        <w:t xml:space="preserve"> </w:t>
      </w:r>
      <w:r w:rsidRPr="00DB378A">
        <w:rPr>
          <w:sz w:val="24"/>
          <w:szCs w:val="24"/>
        </w:rPr>
        <w:t xml:space="preserve">В отчетном </w:t>
      </w:r>
      <w:r>
        <w:rPr>
          <w:sz w:val="24"/>
          <w:szCs w:val="24"/>
        </w:rPr>
        <w:t>периоде</w:t>
      </w:r>
      <w:r w:rsidRPr="00DB378A">
        <w:rPr>
          <w:sz w:val="24"/>
          <w:szCs w:val="24"/>
        </w:rPr>
        <w:t xml:space="preserve"> деятельность контрольно-счетной палаты  была направлена на повышение результативности и эффективности контрольной работы.</w:t>
      </w:r>
    </w:p>
    <w:p w:rsidR="00026F7D" w:rsidRPr="00821B12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821B12">
        <w:rPr>
          <w:sz w:val="24"/>
          <w:szCs w:val="24"/>
        </w:rPr>
        <w:t xml:space="preserve">В Отчете отражены результаты деятельности контрольно-счетной по выполнению возложенных задач и реализации полномочий, определенных законодательством. </w:t>
      </w:r>
    </w:p>
    <w:p w:rsidR="00026F7D" w:rsidRPr="00DB378A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b/>
          <w:sz w:val="24"/>
          <w:szCs w:val="24"/>
        </w:rPr>
        <w:t>Задачами контрольных мероприятий являлись:</w:t>
      </w:r>
    </w:p>
    <w:p w:rsidR="00026F7D" w:rsidRPr="00DB378A" w:rsidRDefault="00026F7D" w:rsidP="00026F7D">
      <w:pPr>
        <w:pStyle w:val="a5"/>
        <w:numPr>
          <w:ilvl w:val="0"/>
          <w:numId w:val="1"/>
        </w:numPr>
        <w:tabs>
          <w:tab w:val="left" w:pos="0"/>
        </w:tabs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8A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B378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B378A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отношения, в ходе исполнения бюджета; </w:t>
      </w:r>
    </w:p>
    <w:p w:rsidR="00026F7D" w:rsidRPr="00DB378A" w:rsidRDefault="00026F7D" w:rsidP="00026F7D">
      <w:pPr>
        <w:pStyle w:val="a5"/>
        <w:numPr>
          <w:ilvl w:val="0"/>
          <w:numId w:val="1"/>
        </w:numPr>
        <w:tabs>
          <w:tab w:val="left" w:pos="709"/>
        </w:tabs>
        <w:spacing w:after="0" w:line="257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378A">
        <w:rPr>
          <w:rFonts w:ascii="Times New Roman" w:hAnsi="Times New Roman" w:cs="Times New Roman"/>
          <w:sz w:val="24"/>
          <w:szCs w:val="24"/>
        </w:rPr>
        <w:t xml:space="preserve"> достоверностью бухгалтерского учета и отчетности; </w:t>
      </w:r>
    </w:p>
    <w:p w:rsidR="00026F7D" w:rsidRPr="00DB378A" w:rsidRDefault="00026F7D" w:rsidP="00026F7D">
      <w:pPr>
        <w:pStyle w:val="a5"/>
        <w:numPr>
          <w:ilvl w:val="0"/>
          <w:numId w:val="1"/>
        </w:numPr>
        <w:tabs>
          <w:tab w:val="left" w:pos="567"/>
        </w:tabs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контроль за целевым и эффективным использованием бюджетных средств и муниципального имущества.</w:t>
      </w:r>
    </w:p>
    <w:p w:rsidR="00026F7D" w:rsidRPr="00DB378A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b/>
          <w:sz w:val="24"/>
          <w:szCs w:val="24"/>
        </w:rPr>
      </w:pPr>
      <w:r w:rsidRPr="00DB378A">
        <w:rPr>
          <w:b/>
          <w:sz w:val="24"/>
          <w:szCs w:val="24"/>
        </w:rPr>
        <w:t>Целью проверок являлось</w:t>
      </w:r>
      <w:r>
        <w:rPr>
          <w:b/>
          <w:sz w:val="24"/>
          <w:szCs w:val="24"/>
        </w:rPr>
        <w:t>:</w:t>
      </w:r>
      <w:r w:rsidRPr="00DB378A">
        <w:rPr>
          <w:b/>
          <w:sz w:val="24"/>
          <w:szCs w:val="24"/>
        </w:rPr>
        <w:t xml:space="preserve"> </w:t>
      </w:r>
      <w:r w:rsidRPr="00DB378A">
        <w:rPr>
          <w:sz w:val="24"/>
          <w:szCs w:val="24"/>
        </w:rPr>
        <w:t>выявление и пресечение нарушений в области бюджетного законодательства и иных нормативно-правовых актов, регулирующих бюджетные отношения.</w:t>
      </w:r>
    </w:p>
    <w:p w:rsidR="00026F7D" w:rsidRPr="00DB378A" w:rsidRDefault="00026F7D" w:rsidP="00026F7D">
      <w:pPr>
        <w:pStyle w:val="ConsPlusNormal0"/>
        <w:widowControl/>
        <w:tabs>
          <w:tab w:val="left" w:pos="709"/>
        </w:tabs>
        <w:spacing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Объектами контрольных мероприятий являлись:</w:t>
      </w:r>
    </w:p>
    <w:p w:rsidR="00026F7D" w:rsidRPr="00296895" w:rsidRDefault="00026F7D" w:rsidP="00026F7D">
      <w:pPr>
        <w:tabs>
          <w:tab w:val="left" w:pos="0"/>
        </w:tabs>
        <w:spacing w:line="257" w:lineRule="auto"/>
        <w:ind w:left="142" w:firstLine="425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муниципальные учреждения (</w:t>
      </w:r>
      <w:r>
        <w:rPr>
          <w:sz w:val="24"/>
          <w:szCs w:val="24"/>
        </w:rPr>
        <w:t xml:space="preserve">МКУ «Дворец культуры им. Г.Д. </w:t>
      </w:r>
      <w:proofErr w:type="spellStart"/>
      <w:r>
        <w:rPr>
          <w:sz w:val="24"/>
          <w:szCs w:val="24"/>
        </w:rPr>
        <w:t>Гогиберидзе</w:t>
      </w:r>
      <w:proofErr w:type="spellEnd"/>
      <w:r>
        <w:rPr>
          <w:sz w:val="24"/>
          <w:szCs w:val="24"/>
        </w:rPr>
        <w:t>», МКУ «</w:t>
      </w:r>
      <w:proofErr w:type="spellStart"/>
      <w:r>
        <w:rPr>
          <w:sz w:val="24"/>
          <w:szCs w:val="24"/>
        </w:rPr>
        <w:t>Людиновская</w:t>
      </w:r>
      <w:proofErr w:type="spellEnd"/>
      <w:r>
        <w:rPr>
          <w:sz w:val="24"/>
          <w:szCs w:val="24"/>
        </w:rPr>
        <w:t xml:space="preserve"> служба заказчика», МКУ «ДЮСШ», МКУК «Районный дом культуры», МКУК «Школа искусств № 1», МКУК» Централизованная библиотечная система города Людиново и </w:t>
      </w: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района», Отдел культуры администрации муниципального района, МКУ «ЕДДС»</w:t>
      </w:r>
      <w:r w:rsidRPr="00DB378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296895">
        <w:rPr>
          <w:sz w:val="24"/>
          <w:szCs w:val="24"/>
        </w:rPr>
        <w:t>Контрольные мероприятия в учреждениях проведены на предмет целевого и эффективного расходования бюджетных средств и имущества</w:t>
      </w:r>
      <w:r>
        <w:rPr>
          <w:sz w:val="24"/>
          <w:szCs w:val="24"/>
        </w:rPr>
        <w:t>;</w:t>
      </w:r>
    </w:p>
    <w:p w:rsidR="00026F7D" w:rsidRDefault="00026F7D" w:rsidP="00026F7D">
      <w:pPr>
        <w:pStyle w:val="a5"/>
        <w:numPr>
          <w:ilvl w:val="0"/>
          <w:numId w:val="1"/>
        </w:numPr>
        <w:tabs>
          <w:tab w:val="left" w:pos="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района. Контрольные мероприятия проведены на предмет аудита эффективности использования бюджетных средств направленных на реализацию муниципальных программ.</w:t>
      </w:r>
    </w:p>
    <w:p w:rsidR="00026F7D" w:rsidRPr="00DB378A" w:rsidRDefault="00026F7D" w:rsidP="00026F7D">
      <w:pPr>
        <w:tabs>
          <w:tab w:val="left" w:pos="0"/>
          <w:tab w:val="left" w:pos="709"/>
        </w:tabs>
        <w:spacing w:line="257" w:lineRule="auto"/>
        <w:jc w:val="both"/>
        <w:rPr>
          <w:b/>
          <w:sz w:val="24"/>
          <w:szCs w:val="24"/>
        </w:rPr>
      </w:pPr>
      <w:r w:rsidRPr="00DB378A">
        <w:rPr>
          <w:b/>
          <w:sz w:val="24"/>
          <w:szCs w:val="24"/>
          <w:lang w:val="en-US"/>
        </w:rPr>
        <w:t>II</w:t>
      </w:r>
      <w:r w:rsidRPr="00DB378A">
        <w:rPr>
          <w:b/>
          <w:sz w:val="24"/>
          <w:szCs w:val="24"/>
        </w:rPr>
        <w:t>. Основные итоги деятельности контрольно-счетной палаты за 20</w:t>
      </w:r>
      <w:r>
        <w:rPr>
          <w:b/>
          <w:sz w:val="24"/>
          <w:szCs w:val="24"/>
        </w:rPr>
        <w:t>19</w:t>
      </w:r>
      <w:r w:rsidRPr="00DB378A">
        <w:rPr>
          <w:b/>
          <w:sz w:val="24"/>
          <w:szCs w:val="24"/>
        </w:rPr>
        <w:t xml:space="preserve"> год </w:t>
      </w:r>
    </w:p>
    <w:p w:rsidR="00026F7D" w:rsidRPr="00DB378A" w:rsidRDefault="00026F7D" w:rsidP="00026F7D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В соответствии с утвержденным Планом работы в отчетном периоде проведено </w:t>
      </w:r>
      <w:r>
        <w:rPr>
          <w:sz w:val="24"/>
          <w:szCs w:val="24"/>
        </w:rPr>
        <w:t xml:space="preserve">74 </w:t>
      </w:r>
      <w:r w:rsidRPr="00DB378A">
        <w:rPr>
          <w:sz w:val="24"/>
          <w:szCs w:val="24"/>
        </w:rPr>
        <w:t>мероприяти</w:t>
      </w:r>
      <w:r>
        <w:rPr>
          <w:sz w:val="24"/>
          <w:szCs w:val="24"/>
        </w:rPr>
        <w:t>й</w:t>
      </w:r>
      <w:r w:rsidRPr="00DB378A">
        <w:rPr>
          <w:sz w:val="24"/>
          <w:szCs w:val="24"/>
        </w:rPr>
        <w:t>, из них:</w:t>
      </w:r>
    </w:p>
    <w:p w:rsidR="00026F7D" w:rsidRPr="00DB378A" w:rsidRDefault="00026F7D" w:rsidP="00026F7D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16 </w:t>
      </w:r>
      <w:r w:rsidRPr="00DB378A">
        <w:rPr>
          <w:sz w:val="24"/>
          <w:szCs w:val="24"/>
        </w:rPr>
        <w:t>контрольных мероприятий;</w:t>
      </w:r>
    </w:p>
    <w:p w:rsidR="00026F7D" w:rsidRDefault="00026F7D" w:rsidP="00026F7D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58 </w:t>
      </w:r>
      <w:r w:rsidRPr="00DB378A">
        <w:rPr>
          <w:sz w:val="24"/>
          <w:szCs w:val="24"/>
        </w:rPr>
        <w:t>экспертно-аналитических мероприяти</w:t>
      </w:r>
      <w:r>
        <w:rPr>
          <w:sz w:val="24"/>
          <w:szCs w:val="24"/>
        </w:rPr>
        <w:t>й</w:t>
      </w:r>
      <w:r w:rsidRPr="00DB378A">
        <w:rPr>
          <w:sz w:val="24"/>
          <w:szCs w:val="24"/>
        </w:rPr>
        <w:t>.</w:t>
      </w:r>
    </w:p>
    <w:p w:rsidR="00026F7D" w:rsidRPr="00DB378A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Контрольные мероприятия проведены на тему:</w:t>
      </w:r>
    </w:p>
    <w:p w:rsidR="00026F7D" w:rsidRPr="00DB378A" w:rsidRDefault="00026F7D" w:rsidP="00026F7D">
      <w:pPr>
        <w:pStyle w:val="a5"/>
        <w:numPr>
          <w:ilvl w:val="0"/>
          <w:numId w:val="1"/>
        </w:numPr>
        <w:tabs>
          <w:tab w:val="left" w:pos="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 xml:space="preserve">целевого и эффективного расходования бюджетных средств и имущества в </w:t>
      </w:r>
      <w:r>
        <w:rPr>
          <w:rFonts w:ascii="Times New Roman" w:hAnsi="Times New Roman" w:cs="Times New Roman"/>
          <w:sz w:val="24"/>
          <w:szCs w:val="24"/>
        </w:rPr>
        <w:t>учреждениях муниципального района</w:t>
      </w:r>
      <w:r w:rsidRPr="00DB378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378A">
        <w:rPr>
          <w:rFonts w:ascii="Times New Roman" w:hAnsi="Times New Roman" w:cs="Times New Roman"/>
          <w:sz w:val="24"/>
          <w:szCs w:val="24"/>
        </w:rPr>
        <w:t xml:space="preserve"> проверок); </w:t>
      </w:r>
    </w:p>
    <w:p w:rsidR="00026F7D" w:rsidRPr="000C25AD" w:rsidRDefault="00026F7D" w:rsidP="00026F7D">
      <w:pPr>
        <w:pStyle w:val="a5"/>
        <w:numPr>
          <w:ilvl w:val="0"/>
          <w:numId w:val="1"/>
        </w:numPr>
        <w:tabs>
          <w:tab w:val="left" w:pos="0"/>
        </w:tabs>
        <w:spacing w:after="0" w:line="257" w:lineRule="auto"/>
        <w:ind w:left="0" w:firstLine="567"/>
        <w:contextualSpacing w:val="0"/>
        <w:jc w:val="both"/>
        <w:rPr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аудит эффективности использования бюджетных средств, направленных на реализацию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B378A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(8 проверок).</w:t>
      </w:r>
    </w:p>
    <w:p w:rsidR="00026F7D" w:rsidRDefault="00026F7D" w:rsidP="00026F7D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По отношению к прошлому году контрольн</w:t>
      </w:r>
      <w:r>
        <w:rPr>
          <w:sz w:val="24"/>
          <w:szCs w:val="24"/>
        </w:rPr>
        <w:t xml:space="preserve">ых и экспертно-аналитических </w:t>
      </w:r>
      <w:r w:rsidRPr="00DB378A">
        <w:rPr>
          <w:sz w:val="24"/>
          <w:szCs w:val="24"/>
        </w:rPr>
        <w:t>мероприяти</w:t>
      </w:r>
      <w:r>
        <w:rPr>
          <w:sz w:val="24"/>
          <w:szCs w:val="24"/>
        </w:rPr>
        <w:t>й проведено больше на 32 мероприятия</w:t>
      </w:r>
      <w:r w:rsidRPr="00DB378A">
        <w:rPr>
          <w:sz w:val="24"/>
          <w:szCs w:val="24"/>
        </w:rPr>
        <w:t xml:space="preserve">. </w:t>
      </w:r>
    </w:p>
    <w:p w:rsidR="00026F7D" w:rsidRDefault="00026F7D" w:rsidP="00026F7D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контрольных мероприятий составлено 16 актов проверок, а на экспертно-аналитические мероприятия подготовлено 58 заключений. </w:t>
      </w:r>
    </w:p>
    <w:p w:rsidR="00026F7D" w:rsidRPr="00FE2A23" w:rsidRDefault="00026F7D" w:rsidP="00026F7D">
      <w:pPr>
        <w:tabs>
          <w:tab w:val="left" w:pos="0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проведения контрольных мероприятий проверено расходование бюджетных средств в объеме </w:t>
      </w:r>
      <w:r w:rsidRPr="000C25AD">
        <w:rPr>
          <w:b/>
          <w:i/>
          <w:sz w:val="24"/>
          <w:szCs w:val="24"/>
        </w:rPr>
        <w:t>471</w:t>
      </w:r>
      <w:r>
        <w:rPr>
          <w:b/>
          <w:i/>
          <w:sz w:val="24"/>
          <w:szCs w:val="24"/>
        </w:rPr>
        <w:t xml:space="preserve"> </w:t>
      </w:r>
      <w:r w:rsidRPr="000C25AD">
        <w:rPr>
          <w:b/>
          <w:i/>
          <w:sz w:val="24"/>
          <w:szCs w:val="24"/>
        </w:rPr>
        <w:t>213,0 тыс. рублей</w:t>
      </w:r>
      <w:r>
        <w:rPr>
          <w:b/>
          <w:sz w:val="24"/>
          <w:szCs w:val="24"/>
        </w:rPr>
        <w:t xml:space="preserve">. </w:t>
      </w:r>
      <w:r w:rsidRPr="00FE2A23">
        <w:rPr>
          <w:sz w:val="24"/>
          <w:szCs w:val="24"/>
        </w:rPr>
        <w:t xml:space="preserve">Кроме того в процессе проверки проведено 8 мероприятий по соблюдению установленного порядка управления и распоряжения имуществом, находящимся в муниципальной собственности в объеме </w:t>
      </w:r>
      <w:r w:rsidRPr="00FE2A23">
        <w:rPr>
          <w:b/>
          <w:i/>
          <w:sz w:val="24"/>
          <w:szCs w:val="24"/>
        </w:rPr>
        <w:t>310 398,0 тыс. рублей</w:t>
      </w:r>
      <w:r w:rsidRPr="00FE2A23">
        <w:rPr>
          <w:sz w:val="24"/>
          <w:szCs w:val="24"/>
        </w:rPr>
        <w:t>.</w:t>
      </w:r>
    </w:p>
    <w:p w:rsidR="00026F7D" w:rsidRPr="00DB378A" w:rsidRDefault="00026F7D" w:rsidP="00026F7D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В ходе осуществления внешнего муниципального финансового контроля выявлены финансовые нарушения на сумму </w:t>
      </w:r>
      <w:r w:rsidRPr="008D4A54">
        <w:rPr>
          <w:b/>
          <w:i/>
          <w:sz w:val="24"/>
          <w:szCs w:val="24"/>
        </w:rPr>
        <w:t>29</w:t>
      </w:r>
      <w:r>
        <w:rPr>
          <w:b/>
          <w:i/>
          <w:sz w:val="24"/>
          <w:szCs w:val="24"/>
        </w:rPr>
        <w:t> </w:t>
      </w:r>
      <w:r w:rsidRPr="008D4A54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93,0</w:t>
      </w:r>
      <w:r w:rsidRPr="00DB378A">
        <w:rPr>
          <w:b/>
          <w:i/>
          <w:sz w:val="24"/>
          <w:szCs w:val="24"/>
        </w:rPr>
        <w:t xml:space="preserve"> тыс. рублей</w:t>
      </w:r>
      <w:r w:rsidRPr="00EE1B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85C27">
        <w:rPr>
          <w:sz w:val="24"/>
          <w:szCs w:val="24"/>
        </w:rPr>
        <w:t>Финансовые нарушения по</w:t>
      </w:r>
      <w:r w:rsidRPr="00DB378A">
        <w:rPr>
          <w:sz w:val="24"/>
          <w:szCs w:val="24"/>
        </w:rPr>
        <w:t xml:space="preserve"> сравнению с прошлым годом</w:t>
      </w:r>
      <w:r>
        <w:rPr>
          <w:sz w:val="24"/>
          <w:szCs w:val="24"/>
        </w:rPr>
        <w:t xml:space="preserve"> сократились на </w:t>
      </w:r>
      <w:r w:rsidRPr="004E2E19">
        <w:rPr>
          <w:b/>
          <w:i/>
          <w:sz w:val="24"/>
          <w:szCs w:val="24"/>
        </w:rPr>
        <w:t>522</w:t>
      </w:r>
      <w:r>
        <w:rPr>
          <w:b/>
          <w:i/>
          <w:sz w:val="24"/>
          <w:szCs w:val="24"/>
        </w:rPr>
        <w:t xml:space="preserve"> </w:t>
      </w:r>
      <w:r w:rsidRPr="004E2E19">
        <w:rPr>
          <w:b/>
          <w:i/>
          <w:sz w:val="24"/>
          <w:szCs w:val="24"/>
        </w:rPr>
        <w:t>276,</w:t>
      </w:r>
      <w:r>
        <w:rPr>
          <w:b/>
          <w:i/>
          <w:sz w:val="24"/>
          <w:szCs w:val="24"/>
        </w:rPr>
        <w:t xml:space="preserve"> </w:t>
      </w:r>
      <w:r w:rsidRPr="004E2E19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</w:t>
      </w:r>
      <w:r w:rsidRPr="00F04828">
        <w:rPr>
          <w:b/>
          <w:i/>
          <w:sz w:val="24"/>
          <w:szCs w:val="24"/>
        </w:rPr>
        <w:t>тыс.</w:t>
      </w:r>
      <w:r>
        <w:rPr>
          <w:b/>
          <w:i/>
          <w:sz w:val="24"/>
          <w:szCs w:val="24"/>
        </w:rPr>
        <w:t xml:space="preserve"> </w:t>
      </w:r>
      <w:r w:rsidRPr="00F04828">
        <w:rPr>
          <w:b/>
          <w:i/>
          <w:sz w:val="24"/>
          <w:szCs w:val="24"/>
        </w:rPr>
        <w:t>рублей</w:t>
      </w:r>
      <w:r w:rsidRPr="00D821B5">
        <w:rPr>
          <w:sz w:val="24"/>
          <w:szCs w:val="24"/>
        </w:rPr>
        <w:t xml:space="preserve">, </w:t>
      </w:r>
      <w:r w:rsidRPr="00DB378A">
        <w:rPr>
          <w:sz w:val="24"/>
          <w:szCs w:val="24"/>
        </w:rPr>
        <w:t xml:space="preserve">за счет </w:t>
      </w:r>
      <w:r>
        <w:rPr>
          <w:sz w:val="24"/>
          <w:szCs w:val="24"/>
        </w:rPr>
        <w:t xml:space="preserve">сокращения </w:t>
      </w:r>
      <w:r>
        <w:rPr>
          <w:sz w:val="24"/>
          <w:szCs w:val="24"/>
        </w:rPr>
        <w:lastRenderedPageBreak/>
        <w:t>нарушений в области учета и использования</w:t>
      </w:r>
      <w:r w:rsidRPr="00DB378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 что свидетельствует о положительной динамике.</w:t>
      </w:r>
    </w:p>
    <w:p w:rsidR="00026F7D" w:rsidRPr="00DB378A" w:rsidRDefault="00026F7D" w:rsidP="00026F7D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b/>
          <w:sz w:val="24"/>
          <w:szCs w:val="24"/>
        </w:rPr>
      </w:pPr>
      <w:r w:rsidRPr="00DB378A">
        <w:rPr>
          <w:sz w:val="24"/>
          <w:szCs w:val="24"/>
        </w:rPr>
        <w:t>Кроме того, выявлено неэффективное использование бюджетных средств</w:t>
      </w:r>
      <w:r>
        <w:rPr>
          <w:sz w:val="24"/>
          <w:szCs w:val="24"/>
        </w:rPr>
        <w:t xml:space="preserve"> </w:t>
      </w:r>
      <w:r w:rsidRPr="00DB378A">
        <w:rPr>
          <w:sz w:val="24"/>
          <w:szCs w:val="24"/>
        </w:rPr>
        <w:t>(неустойка, штрафные санкции</w:t>
      </w:r>
      <w:r>
        <w:rPr>
          <w:sz w:val="24"/>
          <w:szCs w:val="24"/>
        </w:rPr>
        <w:t xml:space="preserve">, расходы несвойственные для муниципальных программ и оплата расходов за выполненные проектные работы, по результатам которых не даны положительные заключения экспертизы) на сумму </w:t>
      </w:r>
      <w:r w:rsidRPr="005653E1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</w:t>
      </w:r>
      <w:r w:rsidRPr="005653E1">
        <w:rPr>
          <w:b/>
          <w:i/>
          <w:sz w:val="24"/>
          <w:szCs w:val="24"/>
        </w:rPr>
        <w:t>750,0 тыс. рублей</w:t>
      </w:r>
      <w:r w:rsidRPr="00D821B5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22278">
        <w:rPr>
          <w:sz w:val="24"/>
          <w:szCs w:val="24"/>
        </w:rPr>
        <w:t xml:space="preserve">По данному виду нарушений расходы по </w:t>
      </w:r>
      <w:r>
        <w:rPr>
          <w:sz w:val="24"/>
          <w:szCs w:val="24"/>
        </w:rPr>
        <w:t>сравнению с</w:t>
      </w:r>
      <w:r w:rsidRPr="00E22278">
        <w:rPr>
          <w:sz w:val="24"/>
          <w:szCs w:val="24"/>
        </w:rPr>
        <w:t xml:space="preserve"> прошл</w:t>
      </w:r>
      <w:r>
        <w:rPr>
          <w:sz w:val="24"/>
          <w:szCs w:val="24"/>
        </w:rPr>
        <w:t>ым</w:t>
      </w:r>
      <w:r w:rsidRPr="00E22278">
        <w:rPr>
          <w:sz w:val="24"/>
          <w:szCs w:val="24"/>
        </w:rPr>
        <w:t xml:space="preserve"> год</w:t>
      </w:r>
      <w:r>
        <w:rPr>
          <w:sz w:val="24"/>
          <w:szCs w:val="24"/>
        </w:rPr>
        <w:t>ом</w:t>
      </w:r>
      <w:r w:rsidRPr="00E22278">
        <w:rPr>
          <w:sz w:val="24"/>
          <w:szCs w:val="24"/>
        </w:rPr>
        <w:t xml:space="preserve"> сократились на </w:t>
      </w:r>
      <w:r w:rsidRPr="00E22278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</w:t>
      </w:r>
      <w:r w:rsidRPr="00E22278">
        <w:rPr>
          <w:b/>
          <w:i/>
          <w:sz w:val="24"/>
          <w:szCs w:val="24"/>
        </w:rPr>
        <w:t>264,7 тыс. рублей</w:t>
      </w:r>
      <w:r w:rsidRPr="00E22278">
        <w:rPr>
          <w:sz w:val="24"/>
          <w:szCs w:val="24"/>
        </w:rPr>
        <w:t>, или 71,2%.</w:t>
      </w:r>
    </w:p>
    <w:p w:rsidR="00026F7D" w:rsidRPr="00DB378A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В составе финансовых нарушений в 201</w:t>
      </w:r>
      <w:r>
        <w:rPr>
          <w:sz w:val="24"/>
          <w:szCs w:val="24"/>
        </w:rPr>
        <w:t>9</w:t>
      </w:r>
      <w:r w:rsidRPr="00DB378A">
        <w:rPr>
          <w:sz w:val="24"/>
          <w:szCs w:val="24"/>
        </w:rPr>
        <w:t xml:space="preserve"> году </w:t>
      </w:r>
      <w:proofErr w:type="gramStart"/>
      <w:r w:rsidRPr="00DB378A">
        <w:rPr>
          <w:sz w:val="24"/>
          <w:szCs w:val="24"/>
        </w:rPr>
        <w:t>выявлены</w:t>
      </w:r>
      <w:proofErr w:type="gramEnd"/>
      <w:r w:rsidRPr="00DB378A">
        <w:rPr>
          <w:sz w:val="24"/>
          <w:szCs w:val="24"/>
        </w:rPr>
        <w:t>:</w:t>
      </w:r>
    </w:p>
    <w:p w:rsidR="00026F7D" w:rsidRPr="0087456F" w:rsidRDefault="00026F7D" w:rsidP="00026F7D">
      <w:pPr>
        <w:pStyle w:val="a5"/>
        <w:numPr>
          <w:ilvl w:val="0"/>
          <w:numId w:val="2"/>
        </w:numPr>
        <w:tabs>
          <w:tab w:val="left" w:pos="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 xml:space="preserve">нарушения при формировании и исполнении бюджетов - на сумму </w:t>
      </w:r>
      <w:r w:rsidRPr="003F60FA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60FA">
        <w:rPr>
          <w:rFonts w:ascii="Times New Roman" w:hAnsi="Times New Roman" w:cs="Times New Roman"/>
          <w:b/>
          <w:i/>
          <w:sz w:val="24"/>
          <w:szCs w:val="24"/>
        </w:rPr>
        <w:t>421,0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 w:rsidRPr="00DB378A">
        <w:rPr>
          <w:rFonts w:ascii="Times New Roman" w:hAnsi="Times New Roman" w:cs="Times New Roman"/>
          <w:sz w:val="24"/>
          <w:szCs w:val="24"/>
        </w:rPr>
        <w:t xml:space="preserve"> (нарушения в оплате труда), что составило </w:t>
      </w:r>
      <w:r>
        <w:rPr>
          <w:rFonts w:ascii="Times New Roman" w:hAnsi="Times New Roman" w:cs="Times New Roman"/>
          <w:sz w:val="24"/>
          <w:szCs w:val="24"/>
        </w:rPr>
        <w:t>4,8 %</w:t>
      </w:r>
      <w:r w:rsidRPr="00DB378A">
        <w:rPr>
          <w:rFonts w:ascii="Times New Roman" w:hAnsi="Times New Roman" w:cs="Times New Roman"/>
          <w:sz w:val="24"/>
          <w:szCs w:val="24"/>
        </w:rPr>
        <w:t xml:space="preserve"> в общем объеме нарушений</w:t>
      </w:r>
      <w:r w:rsidRPr="00DB378A">
        <w:rPr>
          <w:rFonts w:ascii="Times New Roman" w:hAnsi="Times New Roman" w:cs="Times New Roman"/>
          <w:i/>
          <w:sz w:val="24"/>
          <w:szCs w:val="24"/>
        </w:rPr>
        <w:t>;</w:t>
      </w:r>
    </w:p>
    <w:p w:rsidR="00026F7D" w:rsidRPr="0087456F" w:rsidRDefault="00026F7D" w:rsidP="00026F7D">
      <w:pPr>
        <w:pStyle w:val="a5"/>
        <w:numPr>
          <w:ilvl w:val="0"/>
          <w:numId w:val="2"/>
        </w:numPr>
        <w:tabs>
          <w:tab w:val="left" w:pos="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87456F">
        <w:rPr>
          <w:rFonts w:ascii="Times New Roman" w:hAnsi="Times New Roman" w:cs="Times New Roman"/>
          <w:sz w:val="24"/>
          <w:szCs w:val="24"/>
        </w:rPr>
        <w:t xml:space="preserve">рушения в ведении бухгалтерского учета и отчетности -  на сумму </w:t>
      </w:r>
      <w:r w:rsidRPr="0087456F">
        <w:rPr>
          <w:rFonts w:ascii="Times New Roman" w:hAnsi="Times New Roman" w:cs="Times New Roman"/>
          <w:b/>
          <w:i/>
          <w:sz w:val="24"/>
          <w:szCs w:val="24"/>
        </w:rPr>
        <w:t>18 684,0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456F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 w:rsidRPr="0087456F">
        <w:rPr>
          <w:rFonts w:ascii="Times New Roman" w:hAnsi="Times New Roman" w:cs="Times New Roman"/>
          <w:sz w:val="24"/>
          <w:szCs w:val="24"/>
        </w:rPr>
        <w:t xml:space="preserve"> (нарушения в применении бюджетной классификации, неправильное отражение в учете </w:t>
      </w:r>
      <w:r w:rsidRPr="00D07255">
        <w:rPr>
          <w:rFonts w:ascii="Times New Roman" w:hAnsi="Times New Roman" w:cs="Times New Roman"/>
          <w:sz w:val="24"/>
          <w:szCs w:val="24"/>
        </w:rPr>
        <w:t>по счетам фактов хозяйственной жизни экономического субъекта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456F">
        <w:rPr>
          <w:sz w:val="24"/>
          <w:szCs w:val="24"/>
        </w:rPr>
        <w:t>,</w:t>
      </w:r>
      <w:r w:rsidRPr="0087456F">
        <w:rPr>
          <w:rFonts w:ascii="Times New Roman" w:hAnsi="Times New Roman" w:cs="Times New Roman"/>
          <w:sz w:val="24"/>
          <w:szCs w:val="24"/>
        </w:rPr>
        <w:t xml:space="preserve"> что составило 63,0%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56F">
        <w:rPr>
          <w:rFonts w:ascii="Times New Roman" w:hAnsi="Times New Roman" w:cs="Times New Roman"/>
          <w:sz w:val="24"/>
          <w:szCs w:val="24"/>
        </w:rPr>
        <w:t xml:space="preserve">в общем объеме нарушений; </w:t>
      </w:r>
    </w:p>
    <w:p w:rsidR="00026F7D" w:rsidRPr="00DB378A" w:rsidRDefault="00026F7D" w:rsidP="00026F7D">
      <w:pPr>
        <w:pStyle w:val="a5"/>
        <w:numPr>
          <w:ilvl w:val="0"/>
          <w:numId w:val="2"/>
        </w:numPr>
        <w:tabs>
          <w:tab w:val="left" w:pos="0"/>
          <w:tab w:val="left" w:pos="18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 xml:space="preserve">нарушения в сфере управления, использования и учета муниципального имущества - на сумму </w:t>
      </w:r>
      <w:r w:rsidRPr="003F60FA">
        <w:rPr>
          <w:rFonts w:ascii="Times New Roman" w:hAnsi="Times New Roman" w:cs="Times New Roman"/>
          <w:b/>
          <w:i/>
          <w:sz w:val="24"/>
          <w:szCs w:val="24"/>
        </w:rPr>
        <w:t>8 898,0 тыс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>. рублей</w:t>
      </w:r>
      <w:r w:rsidRPr="00DB378A">
        <w:rPr>
          <w:rFonts w:ascii="Times New Roman" w:hAnsi="Times New Roman" w:cs="Times New Roman"/>
          <w:sz w:val="24"/>
          <w:szCs w:val="24"/>
        </w:rPr>
        <w:t>, что составило</w:t>
      </w:r>
      <w:r>
        <w:rPr>
          <w:rFonts w:ascii="Times New Roman" w:hAnsi="Times New Roman" w:cs="Times New Roman"/>
          <w:sz w:val="24"/>
          <w:szCs w:val="24"/>
        </w:rPr>
        <w:t xml:space="preserve"> 30,0</w:t>
      </w:r>
      <w:r w:rsidRPr="0000625D">
        <w:rPr>
          <w:rFonts w:ascii="Times New Roman" w:hAnsi="Times New Roman" w:cs="Times New Roman"/>
          <w:sz w:val="24"/>
          <w:szCs w:val="24"/>
        </w:rPr>
        <w:t xml:space="preserve">% </w:t>
      </w:r>
      <w:r w:rsidRPr="00DB378A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DB378A">
        <w:rPr>
          <w:rFonts w:ascii="Times New Roman" w:hAnsi="Times New Roman" w:cs="Times New Roman"/>
          <w:sz w:val="24"/>
          <w:szCs w:val="24"/>
        </w:rPr>
        <w:t xml:space="preserve">нарушений,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378A">
        <w:rPr>
          <w:rFonts w:ascii="Times New Roman" w:hAnsi="Times New Roman" w:cs="Times New Roman"/>
          <w:sz w:val="24"/>
          <w:szCs w:val="24"/>
        </w:rPr>
        <w:t xml:space="preserve">нарушения, связанные </w:t>
      </w:r>
      <w:r>
        <w:rPr>
          <w:rFonts w:ascii="Times New Roman" w:hAnsi="Times New Roman" w:cs="Times New Roman"/>
          <w:sz w:val="24"/>
          <w:szCs w:val="24"/>
        </w:rPr>
        <w:t>с не отражением в учете земельных участков и не регистрации право собственности на них)</w:t>
      </w:r>
      <w:r w:rsidRPr="00DB378A">
        <w:rPr>
          <w:rFonts w:ascii="Times New Roman" w:hAnsi="Times New Roman" w:cs="Times New Roman"/>
          <w:sz w:val="24"/>
          <w:szCs w:val="24"/>
        </w:rPr>
        <w:t>;</w:t>
      </w:r>
    </w:p>
    <w:p w:rsidR="00026F7D" w:rsidRDefault="00026F7D" w:rsidP="00026F7D">
      <w:pPr>
        <w:pStyle w:val="a5"/>
        <w:numPr>
          <w:ilvl w:val="0"/>
          <w:numId w:val="2"/>
        </w:numPr>
        <w:tabs>
          <w:tab w:val="left" w:pos="180"/>
          <w:tab w:val="left" w:pos="709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 xml:space="preserve">нецелевое использование бюджетных средств - на сумму </w:t>
      </w:r>
      <w:r w:rsidRPr="003F60FA">
        <w:rPr>
          <w:rFonts w:ascii="Times New Roman" w:hAnsi="Times New Roman" w:cs="Times New Roman"/>
          <w:b/>
          <w:i/>
          <w:sz w:val="24"/>
          <w:szCs w:val="24"/>
        </w:rPr>
        <w:t>55,0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 xml:space="preserve"> тыс. рублей</w:t>
      </w:r>
      <w:r w:rsidRPr="00DB378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расходование средств бюджета муниципального района на цели не связанные с деятельностью учреждений)</w:t>
      </w:r>
      <w:r w:rsidRPr="00DB378A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0,2</w:t>
      </w:r>
      <w:r w:rsidRPr="0000625D">
        <w:rPr>
          <w:rFonts w:ascii="Times New Roman" w:hAnsi="Times New Roman" w:cs="Times New Roman"/>
          <w:sz w:val="24"/>
          <w:szCs w:val="24"/>
        </w:rPr>
        <w:t xml:space="preserve">% </w:t>
      </w:r>
      <w:r w:rsidRPr="00DB378A">
        <w:rPr>
          <w:rFonts w:ascii="Times New Roman" w:hAnsi="Times New Roman" w:cs="Times New Roman"/>
          <w:sz w:val="24"/>
          <w:szCs w:val="24"/>
        </w:rPr>
        <w:t>в общем объеме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6F7D" w:rsidRDefault="00026F7D" w:rsidP="00026F7D">
      <w:pPr>
        <w:pStyle w:val="a5"/>
        <w:numPr>
          <w:ilvl w:val="0"/>
          <w:numId w:val="2"/>
        </w:numPr>
        <w:tabs>
          <w:tab w:val="left" w:pos="180"/>
          <w:tab w:val="left" w:pos="709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при осуществлении муниципальных закупок - на сумму </w:t>
      </w:r>
      <w:r w:rsidRPr="00853065">
        <w:rPr>
          <w:rFonts w:ascii="Times New Roman" w:hAnsi="Times New Roman" w:cs="Times New Roman"/>
          <w:b/>
          <w:i/>
          <w:sz w:val="24"/>
          <w:szCs w:val="24"/>
        </w:rPr>
        <w:t>75,0 тыс.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FF1">
        <w:rPr>
          <w:rFonts w:ascii="Times New Roman" w:hAnsi="Times New Roman" w:cs="Times New Roman"/>
          <w:sz w:val="24"/>
          <w:szCs w:val="24"/>
        </w:rPr>
        <w:t>(муниципальный контракт заключен, а услуга</w:t>
      </w:r>
      <w:r>
        <w:rPr>
          <w:rFonts w:ascii="Times New Roman" w:hAnsi="Times New Roman" w:cs="Times New Roman"/>
          <w:sz w:val="24"/>
          <w:szCs w:val="24"/>
        </w:rPr>
        <w:t>, связанная с концертной деятельностью</w:t>
      </w:r>
      <w:r w:rsidRPr="00573FF1">
        <w:rPr>
          <w:rFonts w:ascii="Times New Roman" w:hAnsi="Times New Roman" w:cs="Times New Roman"/>
          <w:sz w:val="24"/>
          <w:szCs w:val="24"/>
        </w:rPr>
        <w:t xml:space="preserve"> не оказана, на вз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3FF1">
        <w:rPr>
          <w:rFonts w:ascii="Times New Roman" w:hAnsi="Times New Roman" w:cs="Times New Roman"/>
          <w:sz w:val="24"/>
          <w:szCs w:val="24"/>
        </w:rPr>
        <w:t>скание задолженности имеется решение</w:t>
      </w:r>
      <w:r>
        <w:rPr>
          <w:rFonts w:ascii="Times New Roman" w:hAnsi="Times New Roman" w:cs="Times New Roman"/>
          <w:sz w:val="24"/>
          <w:szCs w:val="24"/>
        </w:rPr>
        <w:t xml:space="preserve"> Калужского арбитражного</w:t>
      </w:r>
      <w:r w:rsidRPr="00573FF1">
        <w:rPr>
          <w:rFonts w:ascii="Times New Roman" w:hAnsi="Times New Roman" w:cs="Times New Roman"/>
          <w:sz w:val="24"/>
          <w:szCs w:val="24"/>
        </w:rPr>
        <w:t xml:space="preserve"> суда)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FF1">
        <w:rPr>
          <w:rFonts w:ascii="Times New Roman" w:hAnsi="Times New Roman" w:cs="Times New Roman"/>
          <w:sz w:val="24"/>
          <w:szCs w:val="24"/>
        </w:rPr>
        <w:t xml:space="preserve"> </w:t>
      </w:r>
      <w:r w:rsidRPr="00853065">
        <w:rPr>
          <w:rFonts w:ascii="Times New Roman" w:hAnsi="Times New Roman" w:cs="Times New Roman"/>
          <w:sz w:val="24"/>
          <w:szCs w:val="24"/>
        </w:rPr>
        <w:t>что составляет 0,2% в общем объеме всех нарушений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6F7D" w:rsidRDefault="00026F7D" w:rsidP="00026F7D">
      <w:pPr>
        <w:pStyle w:val="a5"/>
        <w:numPr>
          <w:ilvl w:val="0"/>
          <w:numId w:val="2"/>
        </w:numPr>
        <w:tabs>
          <w:tab w:val="left" w:pos="180"/>
          <w:tab w:val="left" w:pos="709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нарушения на сумму </w:t>
      </w:r>
      <w:r w:rsidRPr="00A92B14">
        <w:rPr>
          <w:rFonts w:ascii="Times New Roman" w:hAnsi="Times New Roman" w:cs="Times New Roman"/>
          <w:b/>
          <w:i/>
          <w:sz w:val="24"/>
          <w:szCs w:val="24"/>
        </w:rPr>
        <w:t>560,0 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3BD1">
        <w:rPr>
          <w:rFonts w:ascii="Times New Roman" w:hAnsi="Times New Roman" w:cs="Times New Roman"/>
          <w:sz w:val="24"/>
          <w:szCs w:val="24"/>
        </w:rPr>
        <w:t xml:space="preserve">(расходы на проведение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Pr="00D23BD1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23BD1">
        <w:rPr>
          <w:rFonts w:ascii="Times New Roman" w:hAnsi="Times New Roman" w:cs="Times New Roman"/>
          <w:sz w:val="24"/>
          <w:szCs w:val="24"/>
        </w:rPr>
        <w:t xml:space="preserve"> в учете),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B14">
        <w:rPr>
          <w:rFonts w:ascii="Times New Roman" w:hAnsi="Times New Roman" w:cs="Times New Roman"/>
          <w:sz w:val="24"/>
          <w:szCs w:val="24"/>
        </w:rPr>
        <w:t>или 1,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2B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78A">
        <w:rPr>
          <w:rFonts w:ascii="Times New Roman" w:hAnsi="Times New Roman" w:cs="Times New Roman"/>
          <w:sz w:val="24"/>
          <w:szCs w:val="24"/>
        </w:rPr>
        <w:t>в общем объеме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F7D" w:rsidRDefault="00026F7D" w:rsidP="00026F7D">
      <w:pPr>
        <w:tabs>
          <w:tab w:val="left" w:pos="180"/>
          <w:tab w:val="left" w:pos="567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составе всех нарушений наибольший удельный вес занимают нарушения связанные с ведением бухгалтерского учета и учета имущества.</w:t>
      </w:r>
    </w:p>
    <w:p w:rsidR="00026F7D" w:rsidRDefault="00026F7D" w:rsidP="00026F7D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отдельным учреждениям в ходе осуществления внешнего финансового контроля в соответствии с утвержденным классификатором нарушений, выявлены нарушения, не имеющие суммового выражения, в частности нарушения:</w:t>
      </w:r>
    </w:p>
    <w:p w:rsidR="00026F7D" w:rsidRPr="009B1FE3" w:rsidRDefault="00026F7D" w:rsidP="00026F7D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 w:rsidRPr="009B1FE3">
        <w:rPr>
          <w:sz w:val="24"/>
          <w:szCs w:val="24"/>
        </w:rPr>
        <w:t xml:space="preserve">порядка составления, утверждения и ведения бюджетных смет; </w:t>
      </w:r>
    </w:p>
    <w:p w:rsidR="00026F7D" w:rsidRDefault="00026F7D" w:rsidP="00026F7D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формирования (изменения) муниципального задания;</w:t>
      </w:r>
    </w:p>
    <w:p w:rsidR="00026F7D" w:rsidRDefault="00026F7D" w:rsidP="00026F7D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ведения кассовых операций;</w:t>
      </w:r>
    </w:p>
    <w:p w:rsidR="00026F7D" w:rsidRDefault="00026F7D" w:rsidP="00026F7D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требований по оформлению фактов хозяйственной жизни экономического субъекта первичными учетными документами;</w:t>
      </w:r>
    </w:p>
    <w:p w:rsidR="00026F7D" w:rsidRDefault="00026F7D" w:rsidP="00026F7D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обеспечения открытости и доступности сведений, содержащихся в документах учреждений путем размещения на официальном сайте в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телекоммуникационной сети «Интернет»;</w:t>
      </w:r>
    </w:p>
    <w:p w:rsidR="00026F7D" w:rsidRDefault="00026F7D" w:rsidP="00026F7D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в аренду имущества без согласия собственника и оформления договорных отношений;</w:t>
      </w:r>
    </w:p>
    <w:p w:rsidR="00026F7D" w:rsidRDefault="00026F7D" w:rsidP="00026F7D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законодательных актов в учредительных документах.</w:t>
      </w:r>
    </w:p>
    <w:p w:rsidR="00026F7D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Экспертно-аналитические мероприятия проведены на предмет исполнения бюджетов муниципального района, городского и сельских поселений.</w:t>
      </w:r>
    </w:p>
    <w:p w:rsidR="00026F7D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Кроме того в соответствии с пунктом 7 части 2 статьи 9 </w:t>
      </w:r>
      <w:r w:rsidRPr="00DB378A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DB378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DB378A">
        <w:rPr>
          <w:sz w:val="24"/>
          <w:szCs w:val="24"/>
        </w:rPr>
        <w:t xml:space="preserve"> от 07.02.2011 №6-ФЗ «Об общих принципах организации и деятельности контрольно-</w:t>
      </w:r>
      <w:r w:rsidRPr="00DB378A">
        <w:rPr>
          <w:sz w:val="24"/>
          <w:szCs w:val="24"/>
        </w:rPr>
        <w:lastRenderedPageBreak/>
        <w:t>счетных органов субъектов Российской Федерации и муниципальных образований»</w:t>
      </w:r>
      <w:r>
        <w:rPr>
          <w:sz w:val="24"/>
          <w:szCs w:val="24"/>
        </w:rPr>
        <w:t>, пунктом 7 статьи 8 Положения о контрольно-счетной палате проводились финансово-экономические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района, а также муниципальных программ.</w:t>
      </w:r>
      <w:proofErr w:type="gramEnd"/>
    </w:p>
    <w:p w:rsidR="00026F7D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В нарушение постановления</w:t>
      </w:r>
      <w:r w:rsidRPr="00D208A5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администрации муниципального района «Город Людиново и </w:t>
      </w:r>
      <w:proofErr w:type="spellStart"/>
      <w:r>
        <w:rPr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color w:val="2D2D2D"/>
          <w:spacing w:val="2"/>
          <w:sz w:val="24"/>
          <w:szCs w:val="24"/>
          <w:shd w:val="clear" w:color="auto" w:fill="FFFFFF"/>
        </w:rPr>
        <w:t xml:space="preserve"> район» от 26.10.2018 № 1547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>
        <w:rPr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</w:t>
      </w:r>
      <w:proofErr w:type="spellStart"/>
      <w:r>
        <w:rPr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color w:val="2D2D2D"/>
          <w:spacing w:val="2"/>
          <w:sz w:val="24"/>
          <w:szCs w:val="24"/>
          <w:shd w:val="clear" w:color="auto" w:fill="FFFFFF"/>
        </w:rPr>
        <w:t xml:space="preserve"> район» проекты постановлений об утверждении муниципальных программ и проекты</w:t>
      </w:r>
      <w:proofErr w:type="gramEnd"/>
      <w:r>
        <w:rPr>
          <w:color w:val="2D2D2D"/>
          <w:spacing w:val="2"/>
          <w:sz w:val="24"/>
          <w:szCs w:val="24"/>
          <w:shd w:val="clear" w:color="auto" w:fill="FFFFFF"/>
        </w:rPr>
        <w:t xml:space="preserve"> постановлений о внесении изменений в муниципальные программы практически до сентября 2019 года не направлялись в контрольно-счетную палату для проведения финансово-экономической экспертизы.</w:t>
      </w:r>
    </w:p>
    <w:p w:rsidR="00026F7D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>После неоднократных замечаний при проведении внешнего финансового контроля  связанных с реализацией муниципальных программ проекты постановлений с сентября 2019 года направляются в контрольно-счетную палату для проведения финансово-экономической экспертизы.</w:t>
      </w:r>
    </w:p>
    <w:p w:rsidR="00026F7D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проведения экспертиз муниципальных программ выявлены типичные нарушения, в частности:</w:t>
      </w:r>
    </w:p>
    <w:p w:rsidR="00026F7D" w:rsidRDefault="00026F7D" w:rsidP="00026F7D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нарушение статьи 179 БК РФ в объёмы финансирования муниципальных программ вносились несвоевременно изменения в соответствии с решениями о бюджетах;</w:t>
      </w:r>
    </w:p>
    <w:p w:rsidR="00026F7D" w:rsidRPr="00CB7525" w:rsidRDefault="00026F7D" w:rsidP="00026F7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B7525">
        <w:rPr>
          <w:sz w:val="24"/>
          <w:szCs w:val="24"/>
        </w:rPr>
        <w:t>в раздел</w:t>
      </w:r>
      <w:r>
        <w:rPr>
          <w:sz w:val="24"/>
          <w:szCs w:val="24"/>
        </w:rPr>
        <w:t>ах</w:t>
      </w:r>
      <w:r w:rsidRPr="00CB7525">
        <w:rPr>
          <w:sz w:val="24"/>
          <w:szCs w:val="24"/>
        </w:rPr>
        <w:t xml:space="preserve"> «Обоснование объёма финансовых ресурсов, необходимых для реализации муниципальн</w:t>
      </w:r>
      <w:r>
        <w:rPr>
          <w:sz w:val="24"/>
          <w:szCs w:val="24"/>
        </w:rPr>
        <w:t>ых</w:t>
      </w:r>
      <w:r w:rsidRPr="00CB7525">
        <w:rPr>
          <w:sz w:val="24"/>
          <w:szCs w:val="24"/>
        </w:rPr>
        <w:t xml:space="preserve"> программ» отсутству</w:t>
      </w:r>
      <w:r>
        <w:rPr>
          <w:sz w:val="24"/>
          <w:szCs w:val="24"/>
        </w:rPr>
        <w:t>ют</w:t>
      </w:r>
      <w:r w:rsidRPr="00CB7525">
        <w:rPr>
          <w:sz w:val="24"/>
          <w:szCs w:val="24"/>
        </w:rPr>
        <w:t xml:space="preserve"> обосновани</w:t>
      </w:r>
      <w:r>
        <w:rPr>
          <w:sz w:val="24"/>
          <w:szCs w:val="24"/>
        </w:rPr>
        <w:t>я</w:t>
      </w:r>
      <w:r w:rsidRPr="00CB7525">
        <w:rPr>
          <w:sz w:val="24"/>
          <w:szCs w:val="24"/>
        </w:rPr>
        <w:t xml:space="preserve"> объёма финансовых ресурсов, необходимых для реализации  программ, а предусмотрен только общий объём финансовых ресурсов</w:t>
      </w:r>
      <w:r>
        <w:rPr>
          <w:sz w:val="24"/>
          <w:szCs w:val="24"/>
        </w:rPr>
        <w:t>;</w:t>
      </w:r>
    </w:p>
    <w:p w:rsidR="00026F7D" w:rsidRDefault="00026F7D" w:rsidP="00026F7D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арифметические ошибки в подсчете итогов в  общих объемах финансирования и по мероприятиям; </w:t>
      </w:r>
    </w:p>
    <w:p w:rsidR="00026F7D" w:rsidRDefault="00026F7D" w:rsidP="00026F7D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</w:t>
      </w:r>
      <w:r w:rsidRPr="00640C38">
        <w:rPr>
          <w:sz w:val="24"/>
          <w:szCs w:val="24"/>
        </w:rPr>
        <w:t>ели</w:t>
      </w:r>
      <w:r>
        <w:rPr>
          <w:sz w:val="24"/>
          <w:szCs w:val="24"/>
        </w:rPr>
        <w:t xml:space="preserve"> и индикаторы муниципальных программах, изложенные в Паспортах программ не соответствуют  установленным требованиям, в том числе: </w:t>
      </w:r>
    </w:p>
    <w:p w:rsidR="00026F7D" w:rsidRDefault="00026F7D" w:rsidP="00026F7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целях отсутствует конкретность, измеримость, достижимость; </w:t>
      </w:r>
    </w:p>
    <w:p w:rsidR="00026F7D" w:rsidRDefault="00026F7D" w:rsidP="00026F7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индикаторы не содержат количественных показателей, что не позволяет оценить  ход реализации и достижения целей программы.</w:t>
      </w:r>
    </w:p>
    <w:p w:rsidR="00026F7D" w:rsidRPr="00DB378A" w:rsidRDefault="00026F7D" w:rsidP="00026F7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По результатам экспертно-аналитических мероприятий даны заключения, которые с учетом замечаний и предложений направлены главе муниципального района, главе администрации муниципального района, главе городского поселения, главам администраций и главам сельских поселений.</w:t>
      </w:r>
    </w:p>
    <w:p w:rsidR="00026F7D" w:rsidRPr="00DB378A" w:rsidRDefault="00026F7D" w:rsidP="00026F7D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В рамках реализации экспертно-аналитических </w:t>
      </w:r>
      <w:r>
        <w:rPr>
          <w:sz w:val="24"/>
          <w:szCs w:val="24"/>
        </w:rPr>
        <w:t>мероприятий</w:t>
      </w:r>
      <w:r w:rsidRPr="00DB378A">
        <w:rPr>
          <w:sz w:val="24"/>
          <w:szCs w:val="24"/>
        </w:rPr>
        <w:t xml:space="preserve"> контрольно-счетной палатой  проведены:</w:t>
      </w:r>
    </w:p>
    <w:p w:rsidR="00026F7D" w:rsidRPr="00DB378A" w:rsidRDefault="00026F7D" w:rsidP="00026F7D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внешние проверки годового отчета об исполнении бюджета муниципального района и бюджетов поселений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378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(7 заключений)</w:t>
      </w:r>
      <w:r w:rsidRPr="00DB378A">
        <w:rPr>
          <w:rFonts w:ascii="Times New Roman" w:hAnsi="Times New Roman" w:cs="Times New Roman"/>
          <w:sz w:val="24"/>
          <w:szCs w:val="24"/>
        </w:rPr>
        <w:t>;</w:t>
      </w:r>
    </w:p>
    <w:p w:rsidR="00026F7D" w:rsidRPr="00DB378A" w:rsidRDefault="00026F7D" w:rsidP="00026F7D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проверки исполнения бюджета муниципального района и бюджетов поселений за 6 месяцев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378A">
        <w:rPr>
          <w:rFonts w:ascii="Times New Roman" w:hAnsi="Times New Roman" w:cs="Times New Roman"/>
          <w:sz w:val="24"/>
          <w:szCs w:val="24"/>
        </w:rPr>
        <w:t xml:space="preserve"> года и 9 месяцев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378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(14 заключений)</w:t>
      </w:r>
      <w:r w:rsidRPr="00DB378A">
        <w:rPr>
          <w:rFonts w:ascii="Times New Roman" w:hAnsi="Times New Roman" w:cs="Times New Roman"/>
          <w:sz w:val="24"/>
          <w:szCs w:val="24"/>
        </w:rPr>
        <w:t>;</w:t>
      </w:r>
    </w:p>
    <w:p w:rsidR="00026F7D" w:rsidRDefault="00026F7D" w:rsidP="00026F7D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экспертиза проектов решений ЛРС «О бюджете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378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378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378A">
        <w:rPr>
          <w:rFonts w:ascii="Times New Roman" w:hAnsi="Times New Roman" w:cs="Times New Roman"/>
          <w:sz w:val="24"/>
          <w:szCs w:val="24"/>
        </w:rPr>
        <w:t xml:space="preserve"> годов», а также экспертиза проектов бюджета городского и сельских поселений</w:t>
      </w:r>
      <w:r>
        <w:rPr>
          <w:rFonts w:ascii="Times New Roman" w:hAnsi="Times New Roman" w:cs="Times New Roman"/>
          <w:sz w:val="24"/>
          <w:szCs w:val="24"/>
        </w:rPr>
        <w:t>, экспертиза на соответствие представленных документом с проектом бюджета городского поселения (11 заключений);</w:t>
      </w:r>
    </w:p>
    <w:p w:rsidR="00026F7D" w:rsidRPr="00DB378A" w:rsidRDefault="00026F7D" w:rsidP="00026F7D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экспертизы на проекты муниципальных программ, нормативно правовые акты по </w:t>
      </w:r>
      <w:r>
        <w:rPr>
          <w:rFonts w:ascii="Times New Roman" w:hAnsi="Times New Roman" w:cs="Times New Roman"/>
          <w:sz w:val="24"/>
          <w:szCs w:val="24"/>
        </w:rPr>
        <w:lastRenderedPageBreak/>
        <w:t>оплате труда, о внесении изменений в решения ЛРС (25 заключений).</w:t>
      </w:r>
    </w:p>
    <w:p w:rsidR="00026F7D" w:rsidRDefault="00026F7D" w:rsidP="00026F7D">
      <w:pPr>
        <w:pStyle w:val="11"/>
        <w:tabs>
          <w:tab w:val="left" w:pos="709"/>
        </w:tabs>
        <w:spacing w:after="0" w:line="257" w:lineRule="auto"/>
        <w:ind w:left="0" w:firstLine="567"/>
        <w:jc w:val="both"/>
        <w:rPr>
          <w:lang w:eastAsia="ru-RU"/>
        </w:rPr>
      </w:pPr>
      <w:r w:rsidRPr="00DB378A">
        <w:t>Внешние проверки годовых отчетов об исполнении местных бюджетов включали проверку годовой бюджетной отчетности главных администраторов бюджетных средств за 201</w:t>
      </w:r>
      <w:r>
        <w:t>8</w:t>
      </w:r>
      <w:r w:rsidRPr="00DB378A">
        <w:t xml:space="preserve"> год, которая проведена в соответствии с требованиями статьи 264.4 БК РФ в целях </w:t>
      </w:r>
      <w:r w:rsidRPr="00DB378A">
        <w:rPr>
          <w:lang w:eastAsia="ru-RU"/>
        </w:rPr>
        <w:t>установления законности, степени полноты и достоверности бюджетной отчётности.</w:t>
      </w:r>
    </w:p>
    <w:p w:rsidR="00026F7D" w:rsidRPr="00DB378A" w:rsidRDefault="00026F7D" w:rsidP="00026F7D">
      <w:pPr>
        <w:pStyle w:val="a4"/>
        <w:tabs>
          <w:tab w:val="left" w:pos="709"/>
        </w:tabs>
        <w:spacing w:line="257" w:lineRule="auto"/>
        <w:ind w:firstLine="567"/>
        <w:jc w:val="both"/>
        <w:rPr>
          <w:strike/>
          <w:color w:val="auto"/>
          <w:sz w:val="24"/>
          <w:szCs w:val="24"/>
        </w:rPr>
      </w:pPr>
      <w:r w:rsidRPr="00DB378A">
        <w:rPr>
          <w:color w:val="auto"/>
          <w:sz w:val="24"/>
          <w:szCs w:val="24"/>
        </w:rPr>
        <w:t>Оценка достоверности бюджетной отчетности проводилась на основании представленных форм бюджетной отчетности.</w:t>
      </w:r>
    </w:p>
    <w:p w:rsidR="00026F7D" w:rsidRDefault="00026F7D" w:rsidP="00026F7D">
      <w:pPr>
        <w:pStyle w:val="11"/>
        <w:tabs>
          <w:tab w:val="left" w:pos="709"/>
        </w:tabs>
        <w:spacing w:after="0" w:line="257" w:lineRule="auto"/>
        <w:ind w:left="0" w:firstLine="567"/>
        <w:jc w:val="both"/>
      </w:pPr>
      <w:proofErr w:type="gramStart"/>
      <w:r>
        <w:t>В процессе проверок выявлено, что в</w:t>
      </w:r>
      <w:r w:rsidRPr="00830819">
        <w:t xml:space="preserve"> нарушение Инструкции </w:t>
      </w:r>
      <w:r w:rsidRPr="00830819">
        <w:rPr>
          <w:rFonts w:eastAsia="Calibri"/>
        </w:rPr>
        <w:t>о порядке составления и представления годовой, квартальной и месячной отчетности об исполнении бюджетов бюджетной системы РФ</w:t>
      </w:r>
      <w:r w:rsidRPr="00830819">
        <w:t xml:space="preserve"> от 28.12.2010 № 191н </w:t>
      </w:r>
      <w:r>
        <w:t xml:space="preserve">администрациями сельских поселений </w:t>
      </w:r>
      <w:r w:rsidRPr="00830819">
        <w:t>в приложени</w:t>
      </w:r>
      <w:r>
        <w:t>ях</w:t>
      </w:r>
      <w:r w:rsidRPr="00830819">
        <w:t xml:space="preserve"> к пояснительной записке не заполнены таблицы: №3 «Сведения об исполнении текстовых частей решения о бюджете», №5 «Сведения о результатах мероприятий внутреннего муниципального финансового контроля»</w:t>
      </w:r>
      <w:r>
        <w:t>.</w:t>
      </w:r>
      <w:proofErr w:type="gramEnd"/>
    </w:p>
    <w:p w:rsidR="00026F7D" w:rsidRDefault="00026F7D" w:rsidP="00026F7D">
      <w:pPr>
        <w:pStyle w:val="a4"/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84095C">
        <w:rPr>
          <w:sz w:val="24"/>
          <w:szCs w:val="24"/>
        </w:rPr>
        <w:t>Для проведения внешнего финансового контроля отдельными сельскими поселениями нарушались сроки предоставления отчетов об исполнении бюджетов за 2018 год, и проект</w:t>
      </w:r>
      <w:r>
        <w:rPr>
          <w:sz w:val="24"/>
          <w:szCs w:val="24"/>
        </w:rPr>
        <w:t>ов</w:t>
      </w:r>
      <w:r w:rsidRPr="0084095C">
        <w:rPr>
          <w:sz w:val="24"/>
          <w:szCs w:val="24"/>
        </w:rPr>
        <w:t xml:space="preserve"> решений  на 2020 год и плановый период 2021 и 2022 годов.</w:t>
      </w:r>
    </w:p>
    <w:p w:rsidR="00026F7D" w:rsidRDefault="00026F7D" w:rsidP="00026F7D">
      <w:pPr>
        <w:spacing w:line="240" w:lineRule="atLeast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нарушение требований, установленных статьёй 184.2.БК РФ и статьёй 3.1. Положения о бюджетном процессе сельскими поселениями </w:t>
      </w:r>
      <w:r w:rsidRPr="00201368">
        <w:rPr>
          <w:iCs/>
          <w:sz w:val="24"/>
          <w:szCs w:val="24"/>
        </w:rPr>
        <w:t>в составе документов к Проекту решения</w:t>
      </w:r>
      <w:r>
        <w:rPr>
          <w:iCs/>
          <w:sz w:val="24"/>
          <w:szCs w:val="24"/>
        </w:rPr>
        <w:t xml:space="preserve"> о</w:t>
      </w:r>
      <w:r>
        <w:rPr>
          <w:sz w:val="24"/>
          <w:szCs w:val="24"/>
        </w:rPr>
        <w:t xml:space="preserve"> бюджете на 2020 год и на плановый период 2021и 2022 годов </w:t>
      </w:r>
      <w:r w:rsidRPr="00201368">
        <w:rPr>
          <w:iCs/>
          <w:sz w:val="24"/>
          <w:szCs w:val="24"/>
        </w:rPr>
        <w:t>не представлен реестр источников доходов сельского поселения</w:t>
      </w:r>
      <w:r>
        <w:rPr>
          <w:iCs/>
          <w:sz w:val="24"/>
          <w:szCs w:val="24"/>
        </w:rPr>
        <w:t>.</w:t>
      </w:r>
    </w:p>
    <w:p w:rsidR="00026F7D" w:rsidRDefault="00026F7D" w:rsidP="00026F7D">
      <w:pPr>
        <w:pStyle w:val="a4"/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проведения внешнего финансового контроля при исполнении бюджетов сельских поселений выявлены нарушения </w:t>
      </w:r>
      <w:r w:rsidRPr="00D42DE1">
        <w:rPr>
          <w:sz w:val="24"/>
          <w:szCs w:val="24"/>
        </w:rPr>
        <w:t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: </w:t>
      </w:r>
    </w:p>
    <w:p w:rsidR="00026F7D" w:rsidRDefault="00026F7D" w:rsidP="00026F7D">
      <w:pPr>
        <w:pStyle w:val="a4"/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опахивание минерализованной полосы вокруг населенных пунктов, очистку дорог от снега договора заключались без проведения конкурсных процедур;</w:t>
      </w:r>
    </w:p>
    <w:p w:rsidR="00026F7D" w:rsidRDefault="00026F7D" w:rsidP="00026F7D">
      <w:pPr>
        <w:pStyle w:val="a4"/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в договорах заключенных с единственными подрядчиками, цены определялись без обоснования;</w:t>
      </w:r>
    </w:p>
    <w:p w:rsidR="00026F7D" w:rsidRDefault="00026F7D" w:rsidP="00026F7D">
      <w:pPr>
        <w:pStyle w:val="a4"/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дроблением услуг не соблюдался принцип обеспечения конкуренции.</w:t>
      </w:r>
    </w:p>
    <w:p w:rsidR="00026F7D" w:rsidRDefault="00026F7D" w:rsidP="00026F7D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Сельскими поселениями субсидии на возмещение затрат и убытков за ТЭР предоставлялись обществу с ограниченной ответственностью без обоснования.</w:t>
      </w:r>
    </w:p>
    <w:p w:rsidR="00026F7D" w:rsidRDefault="00026F7D" w:rsidP="00026F7D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Результаты экспертно-аналитических мероприятий отражены в заключениях контрольно-счетной палаты и направлены в представительные органы местного самоуправления.</w:t>
      </w:r>
    </w:p>
    <w:p w:rsidR="00026F7D" w:rsidRDefault="00026F7D" w:rsidP="00026F7D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контрольных и экспертно-аналитических мероприятий в адрес руководителей учреждений и предприятия направлено 14 представлений и 1 предписание. К дисциплинарной ответственности привлечено два должностных лица.</w:t>
      </w:r>
    </w:p>
    <w:p w:rsidR="00026F7D" w:rsidRDefault="00026F7D" w:rsidP="00026F7D">
      <w:pPr>
        <w:jc w:val="center"/>
        <w:rPr>
          <w:sz w:val="24"/>
          <w:szCs w:val="24"/>
        </w:rPr>
      </w:pPr>
      <w:r w:rsidRPr="00EB24DB">
        <w:rPr>
          <w:b/>
          <w:bCs/>
          <w:sz w:val="24"/>
          <w:szCs w:val="24"/>
        </w:rPr>
        <w:lastRenderedPageBreak/>
        <w:t>Структура выявленных нарушений</w:t>
      </w:r>
      <w:r>
        <w:rPr>
          <w:b/>
          <w:bCs/>
          <w:sz w:val="24"/>
          <w:szCs w:val="24"/>
        </w:rPr>
        <w:t xml:space="preserve"> с учетом неэффективного расходования бюджетных средств</w:t>
      </w:r>
      <w:r w:rsidRPr="00EB24DB">
        <w:rPr>
          <w:b/>
          <w:bCs/>
          <w:sz w:val="24"/>
          <w:szCs w:val="24"/>
        </w:rPr>
        <w:t xml:space="preserve"> в 2019 году (тыс. рублей</w:t>
      </w:r>
      <w:r>
        <w:rPr>
          <w:b/>
          <w:bCs/>
          <w:sz w:val="24"/>
          <w:szCs w:val="24"/>
        </w:rPr>
        <w:t>)</w:t>
      </w:r>
      <w:r w:rsidRPr="00EB24DB">
        <w:rPr>
          <w:noProof/>
          <w:sz w:val="24"/>
          <w:szCs w:val="24"/>
        </w:rPr>
        <w:drawing>
          <wp:inline distT="0" distB="0" distL="0" distR="0" wp14:anchorId="12949DBB" wp14:editId="6A73BEBC">
            <wp:extent cx="6045200" cy="42037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6F7D" w:rsidRPr="004A0EA3" w:rsidRDefault="00026F7D" w:rsidP="00026F7D">
      <w:pPr>
        <w:rPr>
          <w:b/>
          <w:noProof/>
          <w:sz w:val="24"/>
          <w:szCs w:val="24"/>
        </w:rPr>
      </w:pPr>
      <w:r w:rsidRPr="004A0EA3"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>Структура выявленных нарушений в 2019 году в сравнении с 2017-2018 гг. (тыс. рублей)</w:t>
      </w:r>
    </w:p>
    <w:p w:rsidR="00026F7D" w:rsidRDefault="00026F7D" w:rsidP="00026F7D">
      <w:pPr>
        <w:rPr>
          <w:b/>
          <w:noProof/>
          <w:sz w:val="24"/>
          <w:szCs w:val="24"/>
        </w:rPr>
      </w:pPr>
      <w:r w:rsidRPr="004A0EA3">
        <w:rPr>
          <w:b/>
          <w:noProof/>
          <w:sz w:val="24"/>
          <w:szCs w:val="24"/>
        </w:rPr>
        <w:drawing>
          <wp:inline distT="0" distB="0" distL="0" distR="0" wp14:anchorId="75692E27" wp14:editId="5F1C71AC">
            <wp:extent cx="5940425" cy="379821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6F7D" w:rsidRDefault="00026F7D" w:rsidP="00026F7D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результатам контрольных и экспертно-аналитических мероприятий устранено финансовых нарушений на сумму </w:t>
      </w:r>
      <w:r w:rsidRPr="00E96EE4">
        <w:rPr>
          <w:b/>
          <w:i/>
          <w:sz w:val="24"/>
          <w:szCs w:val="24"/>
        </w:rPr>
        <w:t>28</w:t>
      </w:r>
      <w:r>
        <w:rPr>
          <w:b/>
          <w:i/>
          <w:sz w:val="24"/>
          <w:szCs w:val="24"/>
        </w:rPr>
        <w:t xml:space="preserve"> </w:t>
      </w:r>
      <w:r w:rsidRPr="00E96EE4">
        <w:rPr>
          <w:b/>
          <w:i/>
          <w:sz w:val="24"/>
          <w:szCs w:val="24"/>
        </w:rPr>
        <w:t>106,0</w:t>
      </w:r>
      <w:r>
        <w:rPr>
          <w:b/>
          <w:i/>
          <w:sz w:val="24"/>
          <w:szCs w:val="24"/>
        </w:rPr>
        <w:t xml:space="preserve"> </w:t>
      </w:r>
      <w:r w:rsidRPr="00606D84">
        <w:rPr>
          <w:b/>
          <w:i/>
          <w:sz w:val="24"/>
          <w:szCs w:val="24"/>
        </w:rPr>
        <w:t>тыс. рублей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что составляет 84,0</w:t>
      </w:r>
      <w:r>
        <w:rPr>
          <w:i/>
          <w:sz w:val="24"/>
          <w:szCs w:val="24"/>
        </w:rPr>
        <w:t xml:space="preserve"> </w:t>
      </w:r>
      <w:r w:rsidRPr="00E96EE4">
        <w:rPr>
          <w:sz w:val="24"/>
          <w:szCs w:val="24"/>
        </w:rPr>
        <w:t xml:space="preserve">% </w:t>
      </w:r>
      <w:r>
        <w:rPr>
          <w:sz w:val="24"/>
          <w:szCs w:val="24"/>
        </w:rPr>
        <w:lastRenderedPageBreak/>
        <w:t xml:space="preserve">от общего объема всех выявленных нарушений (нарушения, в учете и регистрации право собственности на земельные участки устранены в полном объеме </w:t>
      </w:r>
      <w:r w:rsidRPr="00C01124">
        <w:rPr>
          <w:b/>
          <w:i/>
          <w:sz w:val="24"/>
          <w:szCs w:val="24"/>
        </w:rPr>
        <w:t>8 898,0 тыс. рублей</w:t>
      </w:r>
      <w:r>
        <w:rPr>
          <w:b/>
          <w:sz w:val="24"/>
          <w:szCs w:val="24"/>
        </w:rPr>
        <w:t>)</w:t>
      </w:r>
      <w:r w:rsidRPr="002262EF">
        <w:rPr>
          <w:sz w:val="24"/>
          <w:szCs w:val="24"/>
        </w:rPr>
        <w:t xml:space="preserve">. </w:t>
      </w:r>
    </w:p>
    <w:p w:rsidR="00026F7D" w:rsidRDefault="00026F7D" w:rsidP="00026F7D">
      <w:pPr>
        <w:rPr>
          <w:b/>
          <w:bCs/>
          <w:sz w:val="24"/>
          <w:szCs w:val="24"/>
        </w:rPr>
      </w:pPr>
    </w:p>
    <w:p w:rsidR="00026F7D" w:rsidRPr="00F10C82" w:rsidRDefault="00026F7D" w:rsidP="00026F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Н</w:t>
      </w:r>
      <w:r w:rsidRPr="00F81978">
        <w:rPr>
          <w:b/>
          <w:bCs/>
          <w:sz w:val="24"/>
          <w:szCs w:val="24"/>
        </w:rPr>
        <w:t>арушени</w:t>
      </w:r>
      <w:r>
        <w:rPr>
          <w:b/>
          <w:bCs/>
          <w:sz w:val="24"/>
          <w:szCs w:val="24"/>
        </w:rPr>
        <w:t>я,</w:t>
      </w:r>
      <w:r w:rsidRPr="00F81978">
        <w:rPr>
          <w:b/>
          <w:bCs/>
          <w:sz w:val="24"/>
          <w:szCs w:val="24"/>
        </w:rPr>
        <w:t xml:space="preserve"> выявленны</w:t>
      </w:r>
      <w:r>
        <w:rPr>
          <w:b/>
          <w:bCs/>
          <w:sz w:val="24"/>
          <w:szCs w:val="24"/>
        </w:rPr>
        <w:t>е</w:t>
      </w:r>
      <w:r w:rsidRPr="00F81978">
        <w:rPr>
          <w:b/>
          <w:bCs/>
          <w:sz w:val="24"/>
          <w:szCs w:val="24"/>
        </w:rPr>
        <w:t xml:space="preserve"> и устраненны</w:t>
      </w:r>
      <w:r>
        <w:rPr>
          <w:b/>
          <w:bCs/>
          <w:sz w:val="24"/>
          <w:szCs w:val="24"/>
        </w:rPr>
        <w:t>е</w:t>
      </w:r>
      <w:r w:rsidRPr="00F81978">
        <w:rPr>
          <w:b/>
          <w:bCs/>
          <w:sz w:val="24"/>
          <w:szCs w:val="24"/>
        </w:rPr>
        <w:t xml:space="preserve">, в 2017-2019 годах (тыс. рублей)  </w:t>
      </w:r>
    </w:p>
    <w:p w:rsidR="00026F7D" w:rsidRPr="00232A6E" w:rsidRDefault="00026F7D" w:rsidP="00026F7D">
      <w:pPr>
        <w:spacing w:line="257" w:lineRule="auto"/>
        <w:ind w:left="-284"/>
        <w:jc w:val="both"/>
        <w:rPr>
          <w:b/>
          <w:sz w:val="24"/>
          <w:szCs w:val="24"/>
        </w:rPr>
      </w:pPr>
    </w:p>
    <w:p w:rsidR="00026F7D" w:rsidRDefault="00026F7D" w:rsidP="00026F7D">
      <w:pPr>
        <w:spacing w:line="257" w:lineRule="auto"/>
        <w:ind w:firstLine="567"/>
        <w:jc w:val="both"/>
        <w:rPr>
          <w:b/>
          <w:sz w:val="24"/>
          <w:szCs w:val="24"/>
        </w:rPr>
      </w:pPr>
      <w:r w:rsidRPr="004A0EA3">
        <w:rPr>
          <w:b/>
          <w:noProof/>
          <w:sz w:val="24"/>
          <w:szCs w:val="24"/>
        </w:rPr>
        <w:drawing>
          <wp:inline distT="0" distB="0" distL="0" distR="0" wp14:anchorId="6141B5B7" wp14:editId="30E50C57">
            <wp:extent cx="5940425" cy="327584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6F7D" w:rsidRPr="00561E23" w:rsidRDefault="00026F7D" w:rsidP="00026F7D">
      <w:pPr>
        <w:spacing w:line="257" w:lineRule="auto"/>
        <w:ind w:firstLine="567"/>
        <w:jc w:val="both"/>
        <w:rPr>
          <w:sz w:val="24"/>
          <w:szCs w:val="24"/>
        </w:rPr>
      </w:pPr>
      <w:r w:rsidRPr="00561E23">
        <w:rPr>
          <w:sz w:val="24"/>
          <w:szCs w:val="24"/>
        </w:rPr>
        <w:t xml:space="preserve">Количество выявленных нарушений и объем финансовых нарушений в отчетном периоде по отношению к 2017 году и 2018 году сократился </w:t>
      </w:r>
      <w:r>
        <w:rPr>
          <w:sz w:val="24"/>
          <w:szCs w:val="24"/>
        </w:rPr>
        <w:t>довольно в значительном объеме на 35,0% и в 6,0 раз соответственно.</w:t>
      </w:r>
    </w:p>
    <w:p w:rsidR="00026F7D" w:rsidRDefault="00026F7D" w:rsidP="00026F7D">
      <w:pPr>
        <w:spacing w:line="257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Информационное обеспечение деятельности контрольно-счетной палаты </w:t>
      </w:r>
    </w:p>
    <w:p w:rsidR="00026F7D" w:rsidRDefault="00026F7D" w:rsidP="00026F7D">
      <w:pPr>
        <w:spacing w:line="257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19 Федерального закона № 6-ФЗ и статьей 20 Положения о контрольно-счетной палате в целях обеспечения доступа к информации о деятельности контрольно-счетной палаты на сайте администрации муниципального района размещено  78 информационных сообщений о проведенных контрольных и экспертно-аналитических мероприятиях и выявленных нарушениях и одна публикация в газете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рабочий (отчет о деятельности контрольно-счетной палаты за 2018 год).</w:t>
      </w:r>
      <w:proofErr w:type="gramEnd"/>
    </w:p>
    <w:p w:rsidR="00026F7D" w:rsidRDefault="00026F7D" w:rsidP="00026F7D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контрольных мероприятий с руководителями учреждений культуры, отдела культуры и работниками централизованной бухгалтерии проведено совещание, на котором было обращено внимание на выявленные нарушения в сфере расходования бюджетных средств, использования муниципального имущества и ведении бухгалтерского учета.</w:t>
      </w:r>
    </w:p>
    <w:p w:rsidR="00026F7D" w:rsidRDefault="00026F7D" w:rsidP="00026F7D">
      <w:pPr>
        <w:spacing w:line="257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Кроме того, контрольно-счетной палатой с участием заместителя главы администрации муниципального района, заведующей отделом финансов, специалистов отделов финансов, начальников отделов администрации муниципального района, главных бухгалтеров и бухгалтеров централизованных бухгалтерий отдела образования, отдела культуры, ведущих специалистов администраций сельских поселений проведено совещание, на котором обсуждались типичные нарушения, выявленные в ходе проведения контрольных и экспертно-аналитических мероприятий, связанные с учетом имущества, нормативных актов по оплате</w:t>
      </w:r>
      <w:proofErr w:type="gramEnd"/>
      <w:r>
        <w:rPr>
          <w:sz w:val="24"/>
          <w:szCs w:val="24"/>
        </w:rPr>
        <w:t xml:space="preserve"> труда,  применением бюджетной классификации и формированием муниципальных программ.</w:t>
      </w:r>
    </w:p>
    <w:p w:rsidR="00026F7D" w:rsidRDefault="00026F7D" w:rsidP="00026F7D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о результатах всех проведенных контрольных мероприятий своевременно направлялась главе администрации муниципального района, главе муниципального района.</w:t>
      </w:r>
    </w:p>
    <w:p w:rsidR="00026F7D" w:rsidRDefault="00026F7D" w:rsidP="00026F7D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контрольных и экспертно-аналитических мероприятий в муниципальные органы направлено  150 информационных писем.</w:t>
      </w:r>
    </w:p>
    <w:p w:rsidR="00026F7D" w:rsidRDefault="00026F7D" w:rsidP="00026F7D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Федерального закона от 25.12.2008 № 273-ФЗ «О противодействии коррупции» сведения о доходах, имуществе и обязательствах имущественного характера сотрудников контрольно-счетной палаты, их супругов и несовершеннолетних детей за 2018 год в установленном порядке размещены на официальном сайте в сети Интернет.</w:t>
      </w:r>
    </w:p>
    <w:p w:rsidR="00026F7D" w:rsidRDefault="00026F7D" w:rsidP="00026F7D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Отчет о деятельности контрольно-счетной палаты за 2019 год утвержден приказом от 28. 01.2020 № 1-А.</w:t>
      </w:r>
    </w:p>
    <w:p w:rsidR="00026F7D" w:rsidRDefault="00026F7D" w:rsidP="00026F7D">
      <w:pPr>
        <w:spacing w:line="23" w:lineRule="atLeast"/>
        <w:ind w:firstLine="567"/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В рамках Федерального закона № 6-ФЗ и Положения о контрольно-счетной палате на 2020 год функции внешнего финансового контроля </w:t>
      </w:r>
      <w:proofErr w:type="gramStart"/>
      <w:r w:rsidRPr="00D42DE1">
        <w:rPr>
          <w:sz w:val="24"/>
          <w:szCs w:val="24"/>
        </w:rPr>
        <w:t>городским</w:t>
      </w:r>
      <w:proofErr w:type="gramEnd"/>
      <w:r w:rsidRPr="00D42DE1">
        <w:rPr>
          <w:sz w:val="24"/>
          <w:szCs w:val="24"/>
        </w:rPr>
        <w:t xml:space="preserve"> и сельскими поселениями переданы контрольно-счетной палате муниципального района.</w:t>
      </w:r>
    </w:p>
    <w:p w:rsidR="00026F7D" w:rsidRDefault="00026F7D" w:rsidP="00026F7D">
      <w:pPr>
        <w:spacing w:line="2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Отчет о деятельности контрольно-счетной палаты за 2019 год утвержден приказом от 28.01.2020 № 1-А, рассмотрен 30.04.2020 ЛРС</w:t>
      </w:r>
      <w:r w:rsidR="00E53AB3">
        <w:rPr>
          <w:sz w:val="24"/>
          <w:szCs w:val="24"/>
        </w:rPr>
        <w:t>.</w:t>
      </w:r>
    </w:p>
    <w:p w:rsidR="00026F7D" w:rsidRDefault="00026F7D" w:rsidP="00026F7D"/>
    <w:p w:rsidR="00026F7D" w:rsidRPr="00D42DE1" w:rsidRDefault="00026F7D" w:rsidP="00026F7D">
      <w:pPr>
        <w:jc w:val="center"/>
        <w:rPr>
          <w:b/>
          <w:sz w:val="24"/>
          <w:szCs w:val="24"/>
        </w:rPr>
      </w:pPr>
      <w:r w:rsidRPr="00D42DE1">
        <w:rPr>
          <w:b/>
          <w:sz w:val="24"/>
          <w:szCs w:val="24"/>
          <w:lang w:val="en-US"/>
        </w:rPr>
        <w:t>IV</w:t>
      </w:r>
      <w:r w:rsidRPr="00D42DE1">
        <w:rPr>
          <w:b/>
          <w:sz w:val="24"/>
          <w:szCs w:val="24"/>
        </w:rPr>
        <w:t>. Заключительная часть</w:t>
      </w:r>
    </w:p>
    <w:p w:rsidR="00026F7D" w:rsidRPr="00D42DE1" w:rsidRDefault="00026F7D" w:rsidP="00026F7D">
      <w:pPr>
        <w:tabs>
          <w:tab w:val="left" w:pos="180"/>
        </w:tabs>
        <w:spacing w:line="23" w:lineRule="atLeast"/>
        <w:ind w:firstLine="567"/>
        <w:jc w:val="both"/>
        <w:rPr>
          <w:sz w:val="24"/>
          <w:szCs w:val="24"/>
        </w:rPr>
      </w:pPr>
      <w:r w:rsidRPr="00D42DE1">
        <w:rPr>
          <w:sz w:val="24"/>
          <w:szCs w:val="24"/>
        </w:rPr>
        <w:t>Деятельность контрольно-счетной палаты в 2020 будет направлена на безусловное выполнение утвержденного плана контрольных и экспертно-аналитических мероприятий, а также на повышение эффективности внешнего финансового контроля</w:t>
      </w:r>
      <w:r>
        <w:rPr>
          <w:sz w:val="24"/>
          <w:szCs w:val="24"/>
        </w:rPr>
        <w:t xml:space="preserve"> </w:t>
      </w:r>
      <w:r w:rsidRPr="00D42DE1">
        <w:rPr>
          <w:sz w:val="24"/>
          <w:szCs w:val="24"/>
        </w:rPr>
        <w:t xml:space="preserve">за счет </w:t>
      </w:r>
      <w:proofErr w:type="gramStart"/>
      <w:r w:rsidRPr="00D42DE1">
        <w:rPr>
          <w:sz w:val="24"/>
          <w:szCs w:val="24"/>
        </w:rPr>
        <w:t>осуществления функций аудита эффективности использования муниципальных</w:t>
      </w:r>
      <w:proofErr w:type="gramEnd"/>
      <w:r w:rsidRPr="00D42DE1">
        <w:rPr>
          <w:sz w:val="24"/>
          <w:szCs w:val="24"/>
        </w:rPr>
        <w:t xml:space="preserve"> ресурсов, как одного из приоритетных направлений контрольной и экспертно-аналитической работы.</w:t>
      </w:r>
    </w:p>
    <w:p w:rsidR="00026F7D" w:rsidRPr="00D42DE1" w:rsidRDefault="00026F7D" w:rsidP="00026F7D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  <w:r w:rsidRPr="00D42DE1">
        <w:rPr>
          <w:sz w:val="24"/>
          <w:szCs w:val="24"/>
        </w:rPr>
        <w:t>План работы на 2020 год сформирован в соответствии с полномочиями контрольно-счетной палаты определенными законодательными нормативными актами.</w:t>
      </w:r>
    </w:p>
    <w:p w:rsidR="00026F7D" w:rsidRDefault="00026F7D" w:rsidP="00026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42DE1">
        <w:rPr>
          <w:sz w:val="24"/>
          <w:szCs w:val="24"/>
        </w:rPr>
        <w:t xml:space="preserve"> В 2020 году планируется продолжить работу по реализации своих полномочий в сфере: </w:t>
      </w:r>
    </w:p>
    <w:p w:rsidR="00026F7D" w:rsidRDefault="00026F7D" w:rsidP="00026F7D">
      <w:pPr>
        <w:jc w:val="both"/>
      </w:pPr>
      <w:r w:rsidRPr="00617C00">
        <w:rPr>
          <w:sz w:val="24"/>
          <w:szCs w:val="24"/>
        </w:rPr>
        <w:t xml:space="preserve">          осуществления предварительного, текущего и последующего контроля исполнения бюджета муниципального района;</w:t>
      </w:r>
      <w:r>
        <w:t xml:space="preserve"> </w:t>
      </w:r>
    </w:p>
    <w:p w:rsidR="00026F7D" w:rsidRPr="00D42DE1" w:rsidRDefault="00026F7D" w:rsidP="00026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D42DE1">
        <w:rPr>
          <w:sz w:val="24"/>
          <w:szCs w:val="24"/>
        </w:rPr>
        <w:t>контроля за</w:t>
      </w:r>
      <w:proofErr w:type="gramEnd"/>
      <w:r w:rsidRPr="00D42DE1">
        <w:rPr>
          <w:sz w:val="24"/>
          <w:szCs w:val="24"/>
        </w:rPr>
        <w:t xml:space="preserve"> исполнением бюджета городского и сельских поселений; </w:t>
      </w:r>
    </w:p>
    <w:p w:rsidR="00026F7D" w:rsidRPr="00D42DE1" w:rsidRDefault="00026F7D" w:rsidP="00026F7D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          финансово-экономической экспертизы муниципальных программ;</w:t>
      </w:r>
    </w:p>
    <w:p w:rsidR="00026F7D" w:rsidRPr="00D42DE1" w:rsidRDefault="00026F7D" w:rsidP="00026F7D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          внешней проверки</w:t>
      </w:r>
      <w:r>
        <w:rPr>
          <w:sz w:val="24"/>
          <w:szCs w:val="24"/>
        </w:rPr>
        <w:t xml:space="preserve"> </w:t>
      </w:r>
      <w:r w:rsidRPr="00D42DE1">
        <w:rPr>
          <w:sz w:val="24"/>
          <w:szCs w:val="24"/>
        </w:rPr>
        <w:t xml:space="preserve">годового отчета об исполнении бюджета муниципального района, городского и сельских поселений; </w:t>
      </w:r>
    </w:p>
    <w:p w:rsidR="00026F7D" w:rsidRPr="00D42DE1" w:rsidRDefault="00026F7D" w:rsidP="00026F7D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           осуществления анализа муниципальных программ, включая оценку сбалансированности их целей, задач, индикаторов, мероприятий и финансовых ресурсов;</w:t>
      </w:r>
    </w:p>
    <w:p w:rsidR="00026F7D" w:rsidRPr="00D42DE1" w:rsidRDefault="00026F7D" w:rsidP="00026F7D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          исполнения статьи 98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6F7D" w:rsidRPr="00D42DE1" w:rsidRDefault="00026F7D" w:rsidP="00026F7D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D42DE1">
        <w:rPr>
          <w:sz w:val="24"/>
          <w:szCs w:val="24"/>
        </w:rPr>
        <w:t xml:space="preserve">  </w:t>
      </w:r>
      <w:bookmarkStart w:id="0" w:name="_GoBack"/>
      <w:bookmarkEnd w:id="0"/>
    </w:p>
    <w:p w:rsidR="00026F7D" w:rsidRDefault="00026F7D" w:rsidP="00026F7D">
      <w:pPr>
        <w:spacing w:after="120" w:line="256" w:lineRule="auto"/>
      </w:pPr>
      <w:r>
        <w:rPr>
          <w:sz w:val="24"/>
          <w:szCs w:val="24"/>
        </w:rPr>
        <w:t xml:space="preserve">        </w:t>
      </w:r>
    </w:p>
    <w:p w:rsidR="00026F7D" w:rsidRDefault="00026F7D" w:rsidP="00026F7D">
      <w:pPr>
        <w:spacing w:after="120" w:line="256" w:lineRule="auto"/>
      </w:pPr>
    </w:p>
    <w:p w:rsidR="00026F7D" w:rsidRDefault="00026F7D" w:rsidP="00026F7D">
      <w:pPr>
        <w:spacing w:after="120" w:line="256" w:lineRule="auto"/>
      </w:pPr>
    </w:p>
    <w:p w:rsidR="00026F7D" w:rsidRDefault="00026F7D" w:rsidP="00026F7D">
      <w:pPr>
        <w:tabs>
          <w:tab w:val="left" w:pos="7425"/>
        </w:tabs>
        <w:spacing w:after="12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контрольно-счетной палаты</w:t>
      </w:r>
      <w:r>
        <w:rPr>
          <w:b/>
          <w:sz w:val="24"/>
          <w:szCs w:val="24"/>
        </w:rPr>
        <w:tab/>
        <w:t xml:space="preserve">       В.А. Афонина</w:t>
      </w:r>
    </w:p>
    <w:p w:rsidR="00026F7D" w:rsidRDefault="00026F7D" w:rsidP="00026F7D">
      <w:pPr>
        <w:tabs>
          <w:tab w:val="left" w:pos="7425"/>
        </w:tabs>
        <w:spacing w:after="120" w:line="256" w:lineRule="auto"/>
        <w:rPr>
          <w:b/>
          <w:sz w:val="24"/>
          <w:szCs w:val="24"/>
        </w:rPr>
      </w:pPr>
    </w:p>
    <w:p w:rsidR="00026F7D" w:rsidRDefault="00026F7D" w:rsidP="00026F7D">
      <w:pPr>
        <w:spacing w:after="120" w:line="256" w:lineRule="auto"/>
        <w:rPr>
          <w:sz w:val="24"/>
          <w:szCs w:val="24"/>
        </w:rPr>
      </w:pPr>
    </w:p>
    <w:p w:rsidR="00026F7D" w:rsidRDefault="00026F7D" w:rsidP="00026F7D"/>
    <w:p w:rsidR="00026F7D" w:rsidRDefault="00026F7D" w:rsidP="00026F7D"/>
    <w:p w:rsidR="00026F7D" w:rsidRDefault="00026F7D" w:rsidP="00026F7D"/>
    <w:p w:rsidR="00026F7D" w:rsidRDefault="00026F7D" w:rsidP="00026F7D"/>
    <w:p w:rsidR="002B627C" w:rsidRDefault="002B627C" w:rsidP="00F324A5">
      <w:pPr>
        <w:spacing w:line="256" w:lineRule="auto"/>
        <w:ind w:firstLine="567"/>
        <w:jc w:val="both"/>
        <w:rPr>
          <w:sz w:val="24"/>
          <w:szCs w:val="24"/>
        </w:rPr>
      </w:pPr>
    </w:p>
    <w:p w:rsidR="002B627C" w:rsidRDefault="002B627C" w:rsidP="00F324A5">
      <w:pPr>
        <w:spacing w:line="256" w:lineRule="auto"/>
        <w:ind w:firstLine="567"/>
        <w:jc w:val="both"/>
        <w:rPr>
          <w:sz w:val="24"/>
          <w:szCs w:val="24"/>
        </w:rPr>
      </w:pPr>
    </w:p>
    <w:p w:rsidR="002B627C" w:rsidRDefault="002B627C" w:rsidP="00F324A5">
      <w:pPr>
        <w:spacing w:line="256" w:lineRule="auto"/>
        <w:ind w:firstLine="567"/>
        <w:jc w:val="both"/>
        <w:rPr>
          <w:sz w:val="24"/>
          <w:szCs w:val="24"/>
        </w:rPr>
      </w:pPr>
    </w:p>
    <w:p w:rsidR="002B627C" w:rsidRDefault="002B627C" w:rsidP="00F324A5">
      <w:pPr>
        <w:spacing w:line="256" w:lineRule="auto"/>
        <w:ind w:firstLine="567"/>
        <w:jc w:val="both"/>
        <w:rPr>
          <w:sz w:val="24"/>
          <w:szCs w:val="24"/>
        </w:rPr>
      </w:pPr>
    </w:p>
    <w:p w:rsidR="002B627C" w:rsidRDefault="002B627C" w:rsidP="00F324A5">
      <w:pPr>
        <w:spacing w:line="256" w:lineRule="auto"/>
        <w:ind w:firstLine="567"/>
        <w:jc w:val="both"/>
        <w:rPr>
          <w:sz w:val="24"/>
          <w:szCs w:val="24"/>
        </w:rPr>
      </w:pPr>
    </w:p>
    <w:p w:rsidR="002B627C" w:rsidRDefault="002B627C" w:rsidP="00F324A5">
      <w:pPr>
        <w:spacing w:line="256" w:lineRule="auto"/>
        <w:ind w:firstLine="567"/>
        <w:jc w:val="both"/>
        <w:rPr>
          <w:sz w:val="24"/>
          <w:szCs w:val="24"/>
        </w:rPr>
      </w:pPr>
    </w:p>
    <w:sectPr w:rsidR="002B627C" w:rsidSect="00EA100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06" w:rsidRDefault="00006806" w:rsidP="00EA1008">
      <w:r>
        <w:separator/>
      </w:r>
    </w:p>
  </w:endnote>
  <w:endnote w:type="continuationSeparator" w:id="0">
    <w:p w:rsidR="00006806" w:rsidRDefault="00006806" w:rsidP="00EA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06" w:rsidRDefault="00006806" w:rsidP="00EA1008">
      <w:r>
        <w:separator/>
      </w:r>
    </w:p>
  </w:footnote>
  <w:footnote w:type="continuationSeparator" w:id="0">
    <w:p w:rsidR="00006806" w:rsidRDefault="00006806" w:rsidP="00EA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45714"/>
      <w:docPartObj>
        <w:docPartGallery w:val="Page Numbers (Top of Page)"/>
        <w:docPartUnique/>
      </w:docPartObj>
    </w:sdtPr>
    <w:sdtEndPr/>
    <w:sdtContent>
      <w:p w:rsidR="00EA1008" w:rsidRDefault="00EA10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021">
          <w:rPr>
            <w:noProof/>
          </w:rPr>
          <w:t>8</w:t>
        </w:r>
        <w:r>
          <w:fldChar w:fldCharType="end"/>
        </w:r>
      </w:p>
    </w:sdtContent>
  </w:sdt>
  <w:p w:rsidR="00EA1008" w:rsidRDefault="00EA10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7E5C"/>
    <w:multiLevelType w:val="hybridMultilevel"/>
    <w:tmpl w:val="C910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D1ADE"/>
    <w:multiLevelType w:val="hybridMultilevel"/>
    <w:tmpl w:val="D6283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863EA6"/>
    <w:multiLevelType w:val="hybridMultilevel"/>
    <w:tmpl w:val="4A1472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C4"/>
    <w:rsid w:val="00006806"/>
    <w:rsid w:val="00026F7D"/>
    <w:rsid w:val="001C4021"/>
    <w:rsid w:val="002B627C"/>
    <w:rsid w:val="00332F4A"/>
    <w:rsid w:val="005C0516"/>
    <w:rsid w:val="007C64E2"/>
    <w:rsid w:val="008843C4"/>
    <w:rsid w:val="00E21E84"/>
    <w:rsid w:val="00E53AB3"/>
    <w:rsid w:val="00EA1008"/>
    <w:rsid w:val="00F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 Spacing"/>
    <w:uiPriority w:val="1"/>
    <w:qFormat/>
    <w:rsid w:val="00026F7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6F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026F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26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026F7D"/>
    <w:pPr>
      <w:spacing w:after="200"/>
      <w:ind w:left="720"/>
    </w:pPr>
    <w:rPr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26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F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A10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0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0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 Spacing"/>
    <w:uiPriority w:val="1"/>
    <w:qFormat/>
    <w:rsid w:val="00026F7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6F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026F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26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026F7D"/>
    <w:pPr>
      <w:spacing w:after="200"/>
      <w:ind w:left="720"/>
    </w:pPr>
    <w:rPr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26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F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A10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0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0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196232196359971E-2"/>
          <c:y val="0.13371603406898849"/>
          <c:w val="0.94880376780364006"/>
          <c:h val="0.525194387332508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explosion val="25"/>
          <c:dPt>
            <c:idx val="0"/>
            <c:bubble3D val="0"/>
            <c:spPr>
              <a:pattFill prst="zigZ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bubble3D val="0"/>
            <c:spPr>
              <a:pattFill prst="smGrid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solidFill>
                <a:schemeClr val="tx1"/>
              </a:solidFill>
            </c:spPr>
          </c:dPt>
          <c:dPt>
            <c:idx val="5"/>
            <c:bubble3D val="0"/>
            <c:spPr>
              <a:pattFill prst="dkHorz">
                <a:fgClr>
                  <a:schemeClr val="bg2">
                    <a:lumMod val="10000"/>
                  </a:schemeClr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4.4406158189099237E-2"/>
                  <c:y val="-6.9975684085674533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20603118012184782"/>
                  <c:y val="-0.10354031791641094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0.13797826211692549"/>
                  <c:y val="-6.716631170393719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8.0867464108599171E-2"/>
                  <c:y val="7.2759791406191904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8.1760573940873563E-2"/>
                  <c:y val="-3.203541478743552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1.3086193414548487E-2"/>
                  <c:y val="-4.060180692986485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Нарушения при формировании и исполнении бюджета</c:v>
                </c:pt>
                <c:pt idx="1">
                  <c:v>Нарушения в ведении бухгалтерского учета </c:v>
                </c:pt>
                <c:pt idx="2">
                  <c:v>Нарушения в сфере управления и распоряжения имуществом</c:v>
                </c:pt>
                <c:pt idx="3">
                  <c:v>Неэффективное использование муниципальных средств</c:v>
                </c:pt>
                <c:pt idx="4">
                  <c:v>Нецелевое использование бюджетных средств и нарушения в сфере закупок</c:v>
                </c:pt>
                <c:pt idx="5">
                  <c:v>Иные нарушения</c:v>
                </c:pt>
              </c:strCache>
            </c:strRef>
          </c:cat>
          <c:val>
            <c:numRef>
              <c:f>Лист1!$B$2:$B$7</c:f>
              <c:numCache>
                <c:formatCode>_-* #,##0\ _₽_-;\-* #,##0\ _₽_-;_-* "-"\ _₽_-;_-@_-</c:formatCode>
                <c:ptCount val="6"/>
                <c:pt idx="0">
                  <c:v>1421</c:v>
                </c:pt>
                <c:pt idx="1">
                  <c:v>18684</c:v>
                </c:pt>
                <c:pt idx="2">
                  <c:v>8898</c:v>
                </c:pt>
                <c:pt idx="3">
                  <c:v>3750</c:v>
                </c:pt>
                <c:pt idx="4">
                  <c:v>130</c:v>
                </c:pt>
                <c:pt idx="5">
                  <c:v>560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65398412756009205"/>
          <c:w val="0.99878769870747286"/>
          <c:h val="0.311282351441362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>
          <a:solidFill>
            <a:schemeClr val="tx1"/>
          </a:solidFill>
          <a:latin typeface="+mn-lt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Лист1!$A$2:$A$7</c:f>
              <c:strCache>
                <c:ptCount val="6"/>
                <c:pt idx="0">
                  <c:v>Нарушения в сфере управления и распоряжения имуществом</c:v>
                </c:pt>
                <c:pt idx="1">
                  <c:v>Нарушения в ведении бухгалтерского учета</c:v>
                </c:pt>
                <c:pt idx="2">
                  <c:v>Нарушения при формировании и исполнении бюджета</c:v>
                </c:pt>
                <c:pt idx="3">
                  <c:v>Неэффективное использование муниципальных средств</c:v>
                </c:pt>
                <c:pt idx="4">
                  <c:v>Нецелевое использование бюджетных средств и нарушения в сфере закупок</c:v>
                </c:pt>
                <c:pt idx="5">
                  <c:v>Иные нарушения</c:v>
                </c:pt>
              </c:strCache>
            </c:strRef>
          </c:cat>
          <c:val>
            <c:numRef>
              <c:f>Лист1!$B$2:$B$7</c:f>
              <c:numCache>
                <c:formatCode>_-* #,##0.0\ _₽_-;\-* #,##0.0\ _₽_-;_-* "-"?\ _₽_-;_-@_-</c:formatCode>
                <c:ptCount val="6"/>
                <c:pt idx="0">
                  <c:v>1359.1</c:v>
                </c:pt>
                <c:pt idx="1">
                  <c:v>15787</c:v>
                </c:pt>
                <c:pt idx="2">
                  <c:v>31475.8</c:v>
                </c:pt>
                <c:pt idx="3">
                  <c:v>2288.5</c:v>
                </c:pt>
                <c:pt idx="4">
                  <c:v>21.1</c:v>
                </c:pt>
                <c:pt idx="5">
                  <c:v>300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 </a:t>
                    </a:r>
                    <a:r>
                      <a:rPr lang="ru-RU" sz="1200" smtClean="0"/>
                      <a:t>544 865,7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Нарушения в сфере управления и распоряжения имуществом</c:v>
                </c:pt>
                <c:pt idx="1">
                  <c:v>Нарушения в ведении бухгалтерского учета</c:v>
                </c:pt>
                <c:pt idx="2">
                  <c:v>Нарушения при формировании и исполнении бюджета</c:v>
                </c:pt>
                <c:pt idx="3">
                  <c:v>Неэффективное использование муниципальных средств</c:v>
                </c:pt>
                <c:pt idx="4">
                  <c:v>Нецелевое использование бюджетных средств и нарушения в сфере закупок</c:v>
                </c:pt>
                <c:pt idx="5">
                  <c:v>Иные нарушения</c:v>
                </c:pt>
              </c:strCache>
            </c:strRef>
          </c:cat>
          <c:val>
            <c:numRef>
              <c:f>Лист1!$C$2:$C$7</c:f>
              <c:numCache>
                <c:formatCode>_-* #,##0.0\ _₽_-;\-* #,##0.0\ _₽_-;_-* "-"?\ _₽_-;_-@_-</c:formatCode>
                <c:ptCount val="6"/>
                <c:pt idx="0">
                  <c:v>45000</c:v>
                </c:pt>
                <c:pt idx="1">
                  <c:v>6877.5</c:v>
                </c:pt>
                <c:pt idx="2">
                  <c:v>113</c:v>
                </c:pt>
                <c:pt idx="3">
                  <c:v>13014.7</c:v>
                </c:pt>
                <c:pt idx="4">
                  <c:v>38.1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Нарушения в сфере управления и распоряжения имуществом</c:v>
                </c:pt>
                <c:pt idx="1">
                  <c:v>Нарушения в ведении бухгалтерского учета</c:v>
                </c:pt>
                <c:pt idx="2">
                  <c:v>Нарушения при формировании и исполнении бюджета</c:v>
                </c:pt>
                <c:pt idx="3">
                  <c:v>Неэффективное использование муниципальных средств</c:v>
                </c:pt>
                <c:pt idx="4">
                  <c:v>Нецелевое использование бюджетных средств и нарушения в сфере закупок</c:v>
                </c:pt>
                <c:pt idx="5">
                  <c:v>Иные нарушения</c:v>
                </c:pt>
              </c:strCache>
            </c:strRef>
          </c:cat>
          <c:val>
            <c:numRef>
              <c:f>Лист1!$D$2:$D$7</c:f>
              <c:numCache>
                <c:formatCode>_-* #,##0.0\ _₽_-;\-* #,##0.0\ _₽_-;_-* "-"?\ _₽_-;_-@_-</c:formatCode>
                <c:ptCount val="6"/>
                <c:pt idx="0">
                  <c:v>8898</c:v>
                </c:pt>
                <c:pt idx="1">
                  <c:v>18684</c:v>
                </c:pt>
                <c:pt idx="2">
                  <c:v>1421</c:v>
                </c:pt>
                <c:pt idx="3">
                  <c:v>3750</c:v>
                </c:pt>
                <c:pt idx="4">
                  <c:v>130</c:v>
                </c:pt>
                <c:pt idx="5">
                  <c:v>560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671552"/>
        <c:axId val="156087040"/>
      </c:barChart>
      <c:catAx>
        <c:axId val="1556715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6087040"/>
        <c:crosses val="autoZero"/>
        <c:auto val="1"/>
        <c:lblAlgn val="ctr"/>
        <c:lblOffset val="100"/>
        <c:noMultiLvlLbl val="0"/>
      </c:catAx>
      <c:valAx>
        <c:axId val="156087040"/>
        <c:scaling>
          <c:orientation val="minMax"/>
        </c:scaling>
        <c:delete val="1"/>
        <c:axPos val="b"/>
        <c:numFmt formatCode="_-* #,##0.0\ _₽_-;\-* #,##0.0\ _₽_-;_-* &quot;-&quot;?\ _₽_-;_-@_-" sourceLinked="1"/>
        <c:majorTickMark val="out"/>
        <c:minorTickMark val="none"/>
        <c:tickLblPos val="nextTo"/>
        <c:crossAx val="15567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3865403865048"/>
          <c:y val="2.5924757419200167E-2"/>
          <c:w val="0.21128303109625995"/>
          <c:h val="0.2501372456347988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-1.0830896686159844E-2"/>
                  <c:y val="-2.2448261287155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48371302863553E-2"/>
                  <c:y val="-6.0959658259606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1890838206627701E-3"/>
                  <c:y val="-1.1224130643577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_-* #,##0.0_р_._-;\-* #,##0.0_р_._-;_-* "-"?_р_._-;_-@_-</c:formatCode>
                <c:ptCount val="3"/>
                <c:pt idx="0">
                  <c:v>51231.5</c:v>
                </c:pt>
                <c:pt idx="1">
                  <c:v>564870.9</c:v>
                </c:pt>
                <c:pt idx="2">
                  <c:v>33443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Устранено нарушений</c:v>
                </c:pt>
              </c:strCache>
            </c:strRef>
          </c:tx>
          <c:spPr>
            <a:pattFill prst="pct80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1.28119422097338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830896686159844E-2"/>
                  <c:y val="5.612065321788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472659113561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_-* #,##0.0_р_._-;\-* #,##0.0_р_._-;_-* "-"?_р_._-;_-@_-</c:formatCode>
                <c:ptCount val="3"/>
                <c:pt idx="0">
                  <c:v>29458.799999999999</c:v>
                </c:pt>
                <c:pt idx="1">
                  <c:v>549147.6</c:v>
                </c:pt>
                <c:pt idx="2">
                  <c:v>28106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059520"/>
        <c:axId val="156061056"/>
      </c:barChart>
      <c:catAx>
        <c:axId val="156059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061056"/>
        <c:crosses val="autoZero"/>
        <c:auto val="1"/>
        <c:lblAlgn val="ctr"/>
        <c:lblOffset val="100"/>
        <c:noMultiLvlLbl val="0"/>
      </c:catAx>
      <c:valAx>
        <c:axId val="156061056"/>
        <c:scaling>
          <c:orientation val="minMax"/>
        </c:scaling>
        <c:delete val="0"/>
        <c:axPos val="l"/>
        <c:numFmt formatCode="_-* #,##0.0_р_._-;\-* #,##0.0_р_._-;_-* &quot;-&quot;?_р_._-;_-@_-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60595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2978</Words>
  <Characters>16976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9</cp:revision>
  <dcterms:created xsi:type="dcterms:W3CDTF">2020-05-22T04:28:00Z</dcterms:created>
  <dcterms:modified xsi:type="dcterms:W3CDTF">2020-05-25T04:41:00Z</dcterms:modified>
</cp:coreProperties>
</file>