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C3" w:rsidRDefault="00EB35C3" w:rsidP="00EB35C3">
      <w:pPr>
        <w:spacing w:after="120" w:line="256" w:lineRule="auto"/>
        <w:jc w:val="center"/>
        <w:rPr>
          <w:b/>
          <w:sz w:val="24"/>
          <w:szCs w:val="24"/>
        </w:rPr>
      </w:pPr>
    </w:p>
    <w:p w:rsidR="00EB35C3" w:rsidRDefault="00EB35C3" w:rsidP="00EB35C3">
      <w:pPr>
        <w:spacing w:after="12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 деятельности контрольно-счетной палаты муниципального района «Город Людиново и </w:t>
      </w:r>
      <w:proofErr w:type="spellStart"/>
      <w:r>
        <w:rPr>
          <w:b/>
          <w:sz w:val="24"/>
          <w:szCs w:val="24"/>
        </w:rPr>
        <w:t>Людиновский</w:t>
      </w:r>
      <w:proofErr w:type="spellEnd"/>
      <w:r>
        <w:rPr>
          <w:b/>
          <w:sz w:val="24"/>
          <w:szCs w:val="24"/>
        </w:rPr>
        <w:t xml:space="preserve"> район» за 2018 год </w:t>
      </w:r>
    </w:p>
    <w:p w:rsidR="00EB35C3" w:rsidRDefault="00EB35C3" w:rsidP="00EB35C3">
      <w:pPr>
        <w:spacing w:after="120" w:line="256" w:lineRule="auto"/>
        <w:rPr>
          <w:b/>
          <w:sz w:val="24"/>
          <w:szCs w:val="24"/>
        </w:rPr>
      </w:pPr>
    </w:p>
    <w:p w:rsidR="00EB35C3" w:rsidRDefault="00EB35C3" w:rsidP="00EB35C3">
      <w:pPr>
        <w:tabs>
          <w:tab w:val="left" w:pos="460"/>
        </w:tabs>
        <w:spacing w:after="12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Основные задачи и правовое регулирование деятельности контрольно-счетной палаты</w:t>
      </w:r>
    </w:p>
    <w:p w:rsidR="00EB35C3" w:rsidRPr="00DB378A" w:rsidRDefault="00EB35C3" w:rsidP="00EB35C3">
      <w:pPr>
        <w:tabs>
          <w:tab w:val="left" w:pos="460"/>
          <w:tab w:val="left" w:pos="709"/>
        </w:tabs>
        <w:spacing w:line="257" w:lineRule="auto"/>
        <w:jc w:val="both"/>
        <w:rPr>
          <w:sz w:val="24"/>
          <w:szCs w:val="24"/>
        </w:rPr>
      </w:pPr>
      <w:r w:rsidRPr="00DB378A">
        <w:rPr>
          <w:b/>
          <w:sz w:val="24"/>
          <w:szCs w:val="24"/>
        </w:rPr>
        <w:t xml:space="preserve">        </w:t>
      </w:r>
      <w:r w:rsidRPr="00DB378A">
        <w:rPr>
          <w:sz w:val="24"/>
          <w:szCs w:val="24"/>
        </w:rPr>
        <w:t xml:space="preserve"> Контрольно-счетная палата муниципального района «Город Людиново и </w:t>
      </w:r>
      <w:proofErr w:type="spellStart"/>
      <w:r w:rsidRPr="00DB378A">
        <w:rPr>
          <w:sz w:val="24"/>
          <w:szCs w:val="24"/>
        </w:rPr>
        <w:t>Людиновский</w:t>
      </w:r>
      <w:proofErr w:type="spellEnd"/>
      <w:r w:rsidRPr="00DB378A">
        <w:rPr>
          <w:sz w:val="24"/>
          <w:szCs w:val="24"/>
        </w:rPr>
        <w:t xml:space="preserve"> район» (далее</w:t>
      </w:r>
      <w:r w:rsidRPr="00337325">
        <w:rPr>
          <w:sz w:val="24"/>
          <w:szCs w:val="24"/>
        </w:rPr>
        <w:t xml:space="preserve"> </w:t>
      </w:r>
      <w:r w:rsidRPr="00DB378A">
        <w:rPr>
          <w:sz w:val="24"/>
          <w:szCs w:val="24"/>
        </w:rPr>
        <w:t xml:space="preserve">- контрольно-счетная палата, или контрольно-счетная палата муниципального района) является органом местного самоуправления, обладает правами юридического лица, организационной и функциональной независимостью и осуществляет свою деятельность самостоятельно. </w:t>
      </w:r>
    </w:p>
    <w:p w:rsidR="00EB35C3" w:rsidRPr="00DB378A" w:rsidRDefault="00EB35C3" w:rsidP="00EB35C3">
      <w:pPr>
        <w:tabs>
          <w:tab w:val="left" w:pos="460"/>
          <w:tab w:val="left" w:pos="709"/>
        </w:tabs>
        <w:spacing w:line="257" w:lineRule="auto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         </w:t>
      </w:r>
      <w:proofErr w:type="gramStart"/>
      <w:r w:rsidRPr="00DB378A">
        <w:rPr>
          <w:sz w:val="24"/>
          <w:szCs w:val="24"/>
        </w:rPr>
        <w:t xml:space="preserve">В своей деятельности контрольно-счетная палата муниципального района руководствуется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 - БК РФ), Положением о контрольно-счетной палате муниципального района «Город Людиново и </w:t>
      </w:r>
      <w:proofErr w:type="spellStart"/>
      <w:r w:rsidRPr="00DB378A">
        <w:rPr>
          <w:sz w:val="24"/>
          <w:szCs w:val="24"/>
        </w:rPr>
        <w:t>Людиновский</w:t>
      </w:r>
      <w:proofErr w:type="spellEnd"/>
      <w:r w:rsidRPr="00DB378A">
        <w:rPr>
          <w:sz w:val="24"/>
          <w:szCs w:val="24"/>
        </w:rPr>
        <w:t xml:space="preserve"> район», утвержденным решением </w:t>
      </w:r>
      <w:proofErr w:type="spellStart"/>
      <w:r w:rsidRPr="00DB378A">
        <w:rPr>
          <w:sz w:val="24"/>
          <w:szCs w:val="24"/>
        </w:rPr>
        <w:t>Людиновского</w:t>
      </w:r>
      <w:proofErr w:type="spellEnd"/>
      <w:r w:rsidRPr="00DB378A">
        <w:rPr>
          <w:sz w:val="24"/>
          <w:szCs w:val="24"/>
        </w:rPr>
        <w:t xml:space="preserve"> Районного Собрания от 25.04.2012 № 181, а также стандартами внешнего муниципального финансового контроля.</w:t>
      </w:r>
      <w:proofErr w:type="gramEnd"/>
    </w:p>
    <w:p w:rsidR="00EB35C3" w:rsidRPr="00DB378A" w:rsidRDefault="00EB35C3" w:rsidP="00EB35C3">
      <w:pPr>
        <w:tabs>
          <w:tab w:val="left" w:pos="460"/>
          <w:tab w:val="left" w:pos="709"/>
        </w:tabs>
        <w:spacing w:line="257" w:lineRule="auto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        Являясь постоянно действующим органом внешнего муниципального финансового контроля, контрольно-счетная палата в своей работе основывается на принципах законности, объективности, эффективности, независимости и гласности.</w:t>
      </w:r>
    </w:p>
    <w:p w:rsidR="00EB35C3" w:rsidRPr="00DB378A" w:rsidRDefault="00EB35C3" w:rsidP="00EB35C3">
      <w:pPr>
        <w:tabs>
          <w:tab w:val="left" w:pos="460"/>
          <w:tab w:val="left" w:pos="709"/>
        </w:tabs>
        <w:spacing w:line="257" w:lineRule="auto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         Фактическая численность работников контрольно-счетной палаты состоит из двух человек, имеющих высшее финансово-экономическое образование. </w:t>
      </w:r>
    </w:p>
    <w:p w:rsidR="00EB35C3" w:rsidRPr="00DB378A" w:rsidRDefault="00EB35C3" w:rsidP="00EB35C3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>Приоритетной задачей контрольно-счетной палаты являлось и является осуществление контроля за законным и эффективным использованием бюджетных средств, муниципального имущества</w:t>
      </w:r>
      <w:r>
        <w:rPr>
          <w:sz w:val="24"/>
          <w:szCs w:val="24"/>
        </w:rPr>
        <w:t>, а также</w:t>
      </w:r>
      <w:r w:rsidRPr="00DB378A">
        <w:rPr>
          <w:sz w:val="24"/>
          <w:szCs w:val="24"/>
        </w:rPr>
        <w:t xml:space="preserve"> проведение комплекса контрольных и экспертно-аналитических мероприятий, связанных с решением задач, вытекающих из требований законодательства Российской Федерации.</w:t>
      </w:r>
    </w:p>
    <w:p w:rsidR="00EB35C3" w:rsidRPr="00DB378A" w:rsidRDefault="00EB35C3" w:rsidP="00EB35C3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В соответствии с предоставленными полномочиями контрольно-счетная палата в 2018 году осуществляла контрольную, экспертно-аналитическую деятельность в соответствии с Планом работы, утвержденным Приказом от 26.12.2017 № 8-А (далее – План работы). Все контрольные и экспертно-аналитические мероприятия, предусмотренные Планом работы, выполнены. Также в </w:t>
      </w:r>
      <w:proofErr w:type="gramStart"/>
      <w:r w:rsidRPr="00DB378A">
        <w:rPr>
          <w:sz w:val="24"/>
          <w:szCs w:val="24"/>
        </w:rPr>
        <w:t>рамках</w:t>
      </w:r>
      <w:proofErr w:type="gramEnd"/>
      <w:r w:rsidRPr="00DB378A">
        <w:rPr>
          <w:sz w:val="24"/>
          <w:szCs w:val="24"/>
        </w:rPr>
        <w:t xml:space="preserve"> проведенных в 2018 году контрольных мероприятий во всех проверенных учреждениях проверено устранение нарушений по предыдущим актам проверок.</w:t>
      </w:r>
    </w:p>
    <w:p w:rsidR="00EB35C3" w:rsidRPr="00DB378A" w:rsidRDefault="00EB35C3" w:rsidP="00EB35C3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>В отчетном году деятельность контрольно-счетной палаты  была направлена на повышение результативности и эффективности контрольной работы.</w:t>
      </w:r>
    </w:p>
    <w:p w:rsidR="00EB35C3" w:rsidRDefault="00EB35C3" w:rsidP="00EB35C3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>В отчете отражены результаты деятельности контрольно-счетной палаты по выполнению возложенных задач и реализации полномочий, определенных законодательными актами.</w:t>
      </w:r>
    </w:p>
    <w:p w:rsidR="00EB35C3" w:rsidRPr="00DB378A" w:rsidRDefault="00EB35C3" w:rsidP="00EB35C3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b/>
          <w:sz w:val="24"/>
          <w:szCs w:val="24"/>
        </w:rPr>
        <w:t>Задачами контрольных мероприятий являлись:</w:t>
      </w:r>
      <w:r w:rsidRPr="00DB378A">
        <w:rPr>
          <w:sz w:val="24"/>
          <w:szCs w:val="24"/>
        </w:rPr>
        <w:t xml:space="preserve"> </w:t>
      </w:r>
    </w:p>
    <w:p w:rsidR="00EB35C3" w:rsidRPr="00DB378A" w:rsidRDefault="00EB35C3" w:rsidP="00EB35C3">
      <w:pPr>
        <w:pStyle w:val="a5"/>
        <w:numPr>
          <w:ilvl w:val="0"/>
          <w:numId w:val="1"/>
        </w:numPr>
        <w:tabs>
          <w:tab w:val="left" w:pos="0"/>
        </w:tabs>
        <w:spacing w:after="0" w:line="25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8A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B378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B378A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отношения, в ходе исполнения бюджета; </w:t>
      </w:r>
    </w:p>
    <w:p w:rsidR="00EB35C3" w:rsidRPr="00DB378A" w:rsidRDefault="00EB35C3" w:rsidP="00EB35C3">
      <w:pPr>
        <w:pStyle w:val="a5"/>
        <w:numPr>
          <w:ilvl w:val="0"/>
          <w:numId w:val="1"/>
        </w:numPr>
        <w:tabs>
          <w:tab w:val="left" w:pos="709"/>
        </w:tabs>
        <w:spacing w:after="0" w:line="257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378A">
        <w:rPr>
          <w:rFonts w:ascii="Times New Roman" w:hAnsi="Times New Roman" w:cs="Times New Roman"/>
          <w:sz w:val="24"/>
          <w:szCs w:val="24"/>
        </w:rPr>
        <w:t xml:space="preserve"> достоверностью бухгалтерского учета и отчетности; </w:t>
      </w:r>
    </w:p>
    <w:p w:rsidR="00EB35C3" w:rsidRPr="00DB378A" w:rsidRDefault="00EB35C3" w:rsidP="00EB35C3">
      <w:pPr>
        <w:pStyle w:val="a5"/>
        <w:numPr>
          <w:ilvl w:val="0"/>
          <w:numId w:val="1"/>
        </w:numPr>
        <w:tabs>
          <w:tab w:val="left" w:pos="567"/>
        </w:tabs>
        <w:spacing w:after="0" w:line="25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lastRenderedPageBreak/>
        <w:t>контроль за целевым и эффективным использованием бюджетных средств и муниципального имущества.</w:t>
      </w:r>
    </w:p>
    <w:p w:rsidR="00EB35C3" w:rsidRPr="00DB378A" w:rsidRDefault="00EB35C3" w:rsidP="00EB35C3">
      <w:pPr>
        <w:tabs>
          <w:tab w:val="left" w:pos="709"/>
        </w:tabs>
        <w:spacing w:line="257" w:lineRule="auto"/>
        <w:ind w:firstLine="567"/>
        <w:jc w:val="both"/>
        <w:rPr>
          <w:b/>
          <w:sz w:val="24"/>
          <w:szCs w:val="24"/>
        </w:rPr>
      </w:pPr>
      <w:r w:rsidRPr="00DB378A">
        <w:rPr>
          <w:b/>
          <w:sz w:val="24"/>
          <w:szCs w:val="24"/>
        </w:rPr>
        <w:t xml:space="preserve">Целью проверок являлось </w:t>
      </w:r>
      <w:r w:rsidRPr="00DB378A">
        <w:rPr>
          <w:sz w:val="24"/>
          <w:szCs w:val="24"/>
        </w:rPr>
        <w:t>выявление и пресечение нарушений в области бюджетного законодательства и иных нормативно-правовых актов, регулирующих бюджетные отношения.</w:t>
      </w:r>
    </w:p>
    <w:p w:rsidR="00EB35C3" w:rsidRPr="00DB378A" w:rsidRDefault="00EB35C3" w:rsidP="00EB35C3">
      <w:pPr>
        <w:pStyle w:val="ConsPlusNormal0"/>
        <w:widowControl/>
        <w:tabs>
          <w:tab w:val="left" w:pos="709"/>
        </w:tabs>
        <w:spacing w:line="257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>Объектами контрольных мероприятий являлись:</w:t>
      </w:r>
    </w:p>
    <w:p w:rsidR="00EB35C3" w:rsidRPr="00DB378A" w:rsidRDefault="00EB35C3" w:rsidP="00EB35C3">
      <w:pPr>
        <w:pStyle w:val="a5"/>
        <w:numPr>
          <w:ilvl w:val="0"/>
          <w:numId w:val="1"/>
        </w:numPr>
        <w:spacing w:after="0" w:line="25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>органы местного самоуправления (администрации сельских поселений и администрация муниципального района);</w:t>
      </w:r>
    </w:p>
    <w:p w:rsidR="00EB35C3" w:rsidRDefault="00EB35C3" w:rsidP="00EB35C3">
      <w:pPr>
        <w:pStyle w:val="a5"/>
        <w:numPr>
          <w:ilvl w:val="0"/>
          <w:numId w:val="1"/>
        </w:numPr>
        <w:tabs>
          <w:tab w:val="left" w:pos="0"/>
        </w:tabs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>муниципальные учреждения (муниципальные казенные дошкольные образовательные учреждения).</w:t>
      </w:r>
    </w:p>
    <w:p w:rsidR="00EB35C3" w:rsidRPr="00DB378A" w:rsidRDefault="00EB35C3" w:rsidP="00EB35C3">
      <w:pPr>
        <w:tabs>
          <w:tab w:val="left" w:pos="0"/>
          <w:tab w:val="left" w:pos="709"/>
        </w:tabs>
        <w:spacing w:line="257" w:lineRule="auto"/>
        <w:jc w:val="both"/>
        <w:rPr>
          <w:b/>
          <w:sz w:val="24"/>
          <w:szCs w:val="24"/>
        </w:rPr>
      </w:pPr>
      <w:r w:rsidRPr="00DB378A">
        <w:rPr>
          <w:b/>
          <w:sz w:val="24"/>
          <w:szCs w:val="24"/>
        </w:rPr>
        <w:t xml:space="preserve">         </w:t>
      </w:r>
      <w:r w:rsidRPr="00DB378A">
        <w:rPr>
          <w:b/>
          <w:sz w:val="24"/>
          <w:szCs w:val="24"/>
          <w:lang w:val="en-US"/>
        </w:rPr>
        <w:t>II</w:t>
      </w:r>
      <w:r w:rsidRPr="00DB378A">
        <w:rPr>
          <w:b/>
          <w:sz w:val="24"/>
          <w:szCs w:val="24"/>
        </w:rPr>
        <w:t xml:space="preserve">. Основные итоги деятельности контрольно-счетной палаты за 2018 год </w:t>
      </w:r>
    </w:p>
    <w:p w:rsidR="00EB35C3" w:rsidRPr="00DB378A" w:rsidRDefault="00EB35C3" w:rsidP="00EB35C3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>В соответствии с утвержденным Планом работы в отчетном периоде проведено 42 мероприятия, из них:</w:t>
      </w:r>
    </w:p>
    <w:p w:rsidR="00EB35C3" w:rsidRPr="00DB378A" w:rsidRDefault="00EB35C3" w:rsidP="00EB35C3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>- 18 контрольных мероприятий;</w:t>
      </w:r>
    </w:p>
    <w:p w:rsidR="00EB35C3" w:rsidRPr="00DB378A" w:rsidRDefault="00EB35C3" w:rsidP="00EB35C3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- 24 </w:t>
      </w:r>
      <w:proofErr w:type="gramStart"/>
      <w:r w:rsidRPr="00DB378A">
        <w:rPr>
          <w:sz w:val="24"/>
          <w:szCs w:val="24"/>
        </w:rPr>
        <w:t>экспертно-аналитических</w:t>
      </w:r>
      <w:proofErr w:type="gramEnd"/>
      <w:r w:rsidRPr="00DB378A">
        <w:rPr>
          <w:sz w:val="24"/>
          <w:szCs w:val="24"/>
        </w:rPr>
        <w:t xml:space="preserve"> мероприятия.</w:t>
      </w:r>
    </w:p>
    <w:p w:rsidR="00EB35C3" w:rsidRPr="00DB378A" w:rsidRDefault="00EB35C3" w:rsidP="00EB35C3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По отношению к прошлому году проведено на 7 контрольных мероприятий больше. </w:t>
      </w:r>
    </w:p>
    <w:p w:rsidR="00EB35C3" w:rsidRPr="00DB378A" w:rsidRDefault="00EB35C3" w:rsidP="00EB35C3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В ходе осуществления внешнего муниципального финансового контроля выявлены финансовые нарушения на сумму </w:t>
      </w:r>
      <w:r w:rsidRPr="00DB378A">
        <w:rPr>
          <w:b/>
          <w:i/>
          <w:sz w:val="24"/>
          <w:szCs w:val="24"/>
        </w:rPr>
        <w:t>551 894,3 тыс. рублей</w:t>
      </w:r>
      <w:r w:rsidRPr="00DB378A">
        <w:rPr>
          <w:b/>
          <w:sz w:val="24"/>
          <w:szCs w:val="24"/>
        </w:rPr>
        <w:t xml:space="preserve">, </w:t>
      </w:r>
      <w:r w:rsidRPr="00DB378A">
        <w:rPr>
          <w:sz w:val="24"/>
          <w:szCs w:val="24"/>
        </w:rPr>
        <w:t>что</w:t>
      </w:r>
      <w:r w:rsidRPr="00DB378A">
        <w:rPr>
          <w:b/>
          <w:sz w:val="24"/>
          <w:szCs w:val="24"/>
        </w:rPr>
        <w:t xml:space="preserve"> </w:t>
      </w:r>
      <w:r w:rsidRPr="00DB378A">
        <w:rPr>
          <w:sz w:val="24"/>
          <w:szCs w:val="24"/>
        </w:rPr>
        <w:t xml:space="preserve">на </w:t>
      </w:r>
      <w:r w:rsidRPr="00DB378A">
        <w:rPr>
          <w:b/>
          <w:i/>
          <w:sz w:val="24"/>
          <w:szCs w:val="24"/>
        </w:rPr>
        <w:t>502 951, 3 тыс. рублей</w:t>
      </w:r>
      <w:r w:rsidRPr="00DB378A">
        <w:rPr>
          <w:b/>
          <w:sz w:val="24"/>
          <w:szCs w:val="24"/>
        </w:rPr>
        <w:t xml:space="preserve"> </w:t>
      </w:r>
      <w:r w:rsidRPr="00DB378A">
        <w:rPr>
          <w:sz w:val="24"/>
          <w:szCs w:val="24"/>
        </w:rPr>
        <w:t>больше по сравнению с прошлым годом</w:t>
      </w:r>
      <w:r w:rsidRPr="00DB378A">
        <w:rPr>
          <w:b/>
          <w:sz w:val="24"/>
          <w:szCs w:val="24"/>
        </w:rPr>
        <w:t xml:space="preserve"> </w:t>
      </w:r>
      <w:r w:rsidRPr="00DB378A">
        <w:rPr>
          <w:sz w:val="24"/>
          <w:szCs w:val="24"/>
        </w:rPr>
        <w:t>за счет нарушений, связанных с учетом и использованием имущества.</w:t>
      </w:r>
    </w:p>
    <w:p w:rsidR="00EB35C3" w:rsidRPr="00DB378A" w:rsidRDefault="00EB35C3" w:rsidP="00EB35C3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b/>
          <w:sz w:val="24"/>
          <w:szCs w:val="24"/>
        </w:rPr>
      </w:pPr>
      <w:r w:rsidRPr="00DB378A">
        <w:rPr>
          <w:sz w:val="24"/>
          <w:szCs w:val="24"/>
        </w:rPr>
        <w:t xml:space="preserve">Кроме того, выявлено неэффективное использование бюджетных средств на сумму </w:t>
      </w:r>
      <w:r w:rsidRPr="00DB378A">
        <w:rPr>
          <w:b/>
          <w:i/>
          <w:sz w:val="24"/>
          <w:szCs w:val="24"/>
        </w:rPr>
        <w:t>13 014,7 тыс. рублей</w:t>
      </w:r>
      <w:r w:rsidRPr="00DB378A">
        <w:rPr>
          <w:sz w:val="24"/>
          <w:szCs w:val="24"/>
        </w:rPr>
        <w:t xml:space="preserve"> (неустойка, штрафные санкции, списание бензина без учета линейных норм, предоставление субсидии без наличия  расчетов подтверждающих понесенные затраты и убытки), которое по отношению к показателям прошлого года увеличилось на </w:t>
      </w:r>
      <w:r w:rsidRPr="00DB378A">
        <w:rPr>
          <w:b/>
          <w:i/>
          <w:sz w:val="24"/>
          <w:szCs w:val="24"/>
        </w:rPr>
        <w:t>9 171,1 тыс. рублей</w:t>
      </w:r>
      <w:r w:rsidRPr="00DB378A">
        <w:rPr>
          <w:i/>
          <w:sz w:val="24"/>
          <w:szCs w:val="24"/>
        </w:rPr>
        <w:t>.</w:t>
      </w:r>
      <w:r w:rsidRPr="00DB378A">
        <w:rPr>
          <w:sz w:val="24"/>
          <w:szCs w:val="24"/>
        </w:rPr>
        <w:t xml:space="preserve"> </w:t>
      </w:r>
    </w:p>
    <w:p w:rsidR="00EB35C3" w:rsidRPr="00DB378A" w:rsidRDefault="00EB35C3" w:rsidP="00EB35C3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>Контрольные мероприятия проведены на тему:</w:t>
      </w:r>
    </w:p>
    <w:p w:rsidR="00EB35C3" w:rsidRPr="00DB378A" w:rsidRDefault="00EB35C3" w:rsidP="00EB35C3">
      <w:pPr>
        <w:pStyle w:val="a5"/>
        <w:numPr>
          <w:ilvl w:val="0"/>
          <w:numId w:val="1"/>
        </w:numPr>
        <w:tabs>
          <w:tab w:val="left" w:pos="0"/>
        </w:tabs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 xml:space="preserve">целевого и эффективного расходования бюджетных средств и имущества в сельских поселениях (5 проверок); </w:t>
      </w:r>
    </w:p>
    <w:p w:rsidR="00EB35C3" w:rsidRPr="00DB378A" w:rsidRDefault="00EB35C3" w:rsidP="00EB35C3">
      <w:pPr>
        <w:pStyle w:val="a5"/>
        <w:numPr>
          <w:ilvl w:val="0"/>
          <w:numId w:val="1"/>
        </w:numPr>
        <w:tabs>
          <w:tab w:val="left" w:pos="0"/>
        </w:tabs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 xml:space="preserve">аудит эффективности использования бюджетных средств, направленных на реализацию муниципальной программы «Развитие образования в </w:t>
      </w:r>
      <w:proofErr w:type="spellStart"/>
      <w:r w:rsidRPr="00DB378A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DB378A">
        <w:rPr>
          <w:rFonts w:ascii="Times New Roman" w:hAnsi="Times New Roman" w:cs="Times New Roman"/>
          <w:sz w:val="24"/>
          <w:szCs w:val="24"/>
        </w:rPr>
        <w:t xml:space="preserve"> районе» подпрограмму «Развитие дошкольного образования» (расходование средств на питание) и МП «Развитие предпринимательства на территории </w:t>
      </w:r>
      <w:proofErr w:type="spellStart"/>
      <w:r w:rsidRPr="00DB378A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Pr="00DB378A">
        <w:rPr>
          <w:rFonts w:ascii="Times New Roman" w:hAnsi="Times New Roman" w:cs="Times New Roman"/>
          <w:sz w:val="24"/>
          <w:szCs w:val="24"/>
        </w:rPr>
        <w:t xml:space="preserve"> района» (10 проверок).</w:t>
      </w:r>
    </w:p>
    <w:p w:rsidR="00EB35C3" w:rsidRPr="00DB378A" w:rsidRDefault="00EB35C3" w:rsidP="00EB35C3">
      <w:pPr>
        <w:tabs>
          <w:tab w:val="left" w:pos="709"/>
          <w:tab w:val="left" w:pos="3255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В результате проведенного контрольного мероприятия на предмет эффективности использования бюджетных средств, направленных на реализацию подпрограммы «Развитие дошкольного образования» (расходование средств на питание), установлено следующее. </w:t>
      </w:r>
    </w:p>
    <w:p w:rsidR="00EB35C3" w:rsidRPr="00DB378A" w:rsidRDefault="00EB35C3" w:rsidP="00EB35C3">
      <w:pPr>
        <w:tabs>
          <w:tab w:val="left" w:pos="709"/>
          <w:tab w:val="left" w:pos="3255"/>
        </w:tabs>
        <w:spacing w:line="257" w:lineRule="auto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        Средства бюджета муниципального района, выделенные на совершенствование организации питания в детских садах в рамках реализации муниципальной программы «Развитие образования в </w:t>
      </w:r>
      <w:proofErr w:type="spellStart"/>
      <w:r w:rsidRPr="00DB378A">
        <w:rPr>
          <w:sz w:val="24"/>
          <w:szCs w:val="24"/>
        </w:rPr>
        <w:t>Людиновском</w:t>
      </w:r>
      <w:proofErr w:type="spellEnd"/>
      <w:r w:rsidRPr="00DB378A">
        <w:rPr>
          <w:sz w:val="24"/>
          <w:szCs w:val="24"/>
        </w:rPr>
        <w:t xml:space="preserve"> районе» на 2014-2020 годы по подпрограмме «Развитие дошкольного образования», использованы по целевому назначению.</w:t>
      </w:r>
    </w:p>
    <w:p w:rsidR="00EB35C3" w:rsidRPr="00DB378A" w:rsidRDefault="00EB35C3" w:rsidP="00EB35C3">
      <w:pPr>
        <w:tabs>
          <w:tab w:val="left" w:pos="709"/>
        </w:tabs>
        <w:spacing w:line="257" w:lineRule="auto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          </w:t>
      </w:r>
      <w:proofErr w:type="gramStart"/>
      <w:r w:rsidRPr="00DB378A">
        <w:rPr>
          <w:sz w:val="24"/>
          <w:szCs w:val="24"/>
        </w:rPr>
        <w:t>В соответствии с пунктом 1 статьи 18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планом работы КСП Калужской области, пунктом 4.3 Плана работы контрольно-счетной палаты муниципального района и соглашением о сотрудничестве от 17.06.2015 № 6 контрольно-счетная палата принимала участие в проведении контрольных мероприятий:</w:t>
      </w:r>
      <w:proofErr w:type="gramEnd"/>
    </w:p>
    <w:p w:rsidR="00EB35C3" w:rsidRDefault="00EB35C3" w:rsidP="00EB35C3">
      <w:pPr>
        <w:tabs>
          <w:tab w:val="left" w:pos="709"/>
        </w:tabs>
        <w:spacing w:line="257" w:lineRule="auto"/>
        <w:jc w:val="both"/>
        <w:rPr>
          <w:sz w:val="24"/>
          <w:szCs w:val="24"/>
        </w:rPr>
      </w:pPr>
      <w:r w:rsidRPr="00DB378A">
        <w:rPr>
          <w:sz w:val="24"/>
          <w:szCs w:val="24"/>
        </w:rPr>
        <w:lastRenderedPageBreak/>
        <w:t xml:space="preserve">            - контроль результатов реализации подпрограммы «Формирование современной городской среды государственной программы Калужской области «Охрана окружающей среды в Калужской области»</w:t>
      </w:r>
      <w:r w:rsidRPr="00606D84">
        <w:rPr>
          <w:sz w:val="24"/>
          <w:szCs w:val="24"/>
        </w:rPr>
        <w:t xml:space="preserve"> </w:t>
      </w:r>
      <w:r w:rsidRPr="00DB378A">
        <w:rPr>
          <w:sz w:val="24"/>
          <w:szCs w:val="24"/>
        </w:rPr>
        <w:t>за 2017 год</w:t>
      </w:r>
      <w:r>
        <w:rPr>
          <w:sz w:val="24"/>
          <w:szCs w:val="24"/>
        </w:rPr>
        <w:t>;</w:t>
      </w:r>
    </w:p>
    <w:p w:rsidR="00EB35C3" w:rsidRDefault="00EB35C3" w:rsidP="00EB35C3">
      <w:pPr>
        <w:tabs>
          <w:tab w:val="left" w:pos="709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законностью, результативностью (эффективностью и экономностью) использования межбюджетных трансфертов, предоставленных из областного бюджета бюджету муниципального района;</w:t>
      </w:r>
    </w:p>
    <w:p w:rsidR="00EB35C3" w:rsidRPr="00DB378A" w:rsidRDefault="00EB35C3" w:rsidP="00EB35C3">
      <w:pPr>
        <w:tabs>
          <w:tab w:val="left" w:pos="709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- целевое и эффективное использование бюджетных средств, направленных на реализацию государственной программы Российской Федерации «Обеспечение доступным и комфортным жильем и коммунальными услугами граждан Российской Федерации» федеральной целевой программы «Жилище».</w:t>
      </w:r>
    </w:p>
    <w:p w:rsidR="00EB35C3" w:rsidRPr="00DB378A" w:rsidRDefault="00EB35C3" w:rsidP="00EB35C3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В составе финансовых нарушений в 2018 году </w:t>
      </w:r>
      <w:proofErr w:type="gramStart"/>
      <w:r w:rsidRPr="00DB378A">
        <w:rPr>
          <w:sz w:val="24"/>
          <w:szCs w:val="24"/>
        </w:rPr>
        <w:t>выявлены</w:t>
      </w:r>
      <w:proofErr w:type="gramEnd"/>
      <w:r w:rsidRPr="00DB378A">
        <w:rPr>
          <w:sz w:val="24"/>
          <w:szCs w:val="24"/>
        </w:rPr>
        <w:t>:</w:t>
      </w:r>
    </w:p>
    <w:p w:rsidR="00EB35C3" w:rsidRPr="00DB378A" w:rsidRDefault="00EB35C3" w:rsidP="00EB35C3">
      <w:pPr>
        <w:pStyle w:val="a5"/>
        <w:numPr>
          <w:ilvl w:val="0"/>
          <w:numId w:val="2"/>
        </w:numPr>
        <w:tabs>
          <w:tab w:val="left" w:pos="0"/>
        </w:tabs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 xml:space="preserve">нарушения при формировании и исполнении бюджетов - на сумму </w:t>
      </w:r>
      <w:r w:rsidRPr="00DB378A">
        <w:rPr>
          <w:rFonts w:ascii="Times New Roman" w:hAnsi="Times New Roman" w:cs="Times New Roman"/>
          <w:b/>
          <w:i/>
          <w:sz w:val="24"/>
          <w:szCs w:val="24"/>
        </w:rPr>
        <w:t>113,0</w:t>
      </w:r>
      <w:r w:rsidRPr="00DB37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78A">
        <w:rPr>
          <w:rFonts w:ascii="Times New Roman" w:hAnsi="Times New Roman" w:cs="Times New Roman"/>
          <w:b/>
          <w:i/>
          <w:sz w:val="24"/>
          <w:szCs w:val="24"/>
        </w:rPr>
        <w:t>тыс. рублей</w:t>
      </w:r>
      <w:r w:rsidRPr="00DB378A">
        <w:rPr>
          <w:rFonts w:ascii="Times New Roman" w:hAnsi="Times New Roman" w:cs="Times New Roman"/>
          <w:sz w:val="24"/>
          <w:szCs w:val="24"/>
        </w:rPr>
        <w:t xml:space="preserve"> (нарушения в оплате труда), что составило </w:t>
      </w:r>
      <w:r w:rsidRPr="00DB378A">
        <w:rPr>
          <w:rFonts w:ascii="Times New Roman" w:hAnsi="Times New Roman" w:cs="Times New Roman"/>
          <w:i/>
          <w:sz w:val="24"/>
          <w:szCs w:val="24"/>
        </w:rPr>
        <w:t>0,02%</w:t>
      </w:r>
      <w:r w:rsidRPr="00DB378A">
        <w:rPr>
          <w:rFonts w:ascii="Times New Roman" w:hAnsi="Times New Roman" w:cs="Times New Roman"/>
          <w:sz w:val="24"/>
          <w:szCs w:val="24"/>
        </w:rPr>
        <w:t xml:space="preserve"> в общем объеме нарушений</w:t>
      </w:r>
      <w:r w:rsidRPr="00DB378A">
        <w:rPr>
          <w:rFonts w:ascii="Times New Roman" w:hAnsi="Times New Roman" w:cs="Times New Roman"/>
          <w:i/>
          <w:sz w:val="24"/>
          <w:szCs w:val="24"/>
        </w:rPr>
        <w:t>;</w:t>
      </w:r>
    </w:p>
    <w:p w:rsidR="00EB35C3" w:rsidRPr="00DB378A" w:rsidRDefault="00EB35C3" w:rsidP="00EB35C3">
      <w:pPr>
        <w:pStyle w:val="a5"/>
        <w:numPr>
          <w:ilvl w:val="0"/>
          <w:numId w:val="2"/>
        </w:numPr>
        <w:tabs>
          <w:tab w:val="left" w:pos="0"/>
        </w:tabs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 xml:space="preserve">нарушения в ведении бухгалтерского учета и отчетности -  на сумму </w:t>
      </w:r>
      <w:r w:rsidRPr="00DB378A">
        <w:rPr>
          <w:rFonts w:ascii="Times New Roman" w:hAnsi="Times New Roman" w:cs="Times New Roman"/>
          <w:b/>
          <w:i/>
          <w:sz w:val="24"/>
          <w:szCs w:val="24"/>
        </w:rPr>
        <w:t>6 877,5</w:t>
      </w:r>
      <w:r w:rsidRPr="00DB37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78A">
        <w:rPr>
          <w:rFonts w:ascii="Times New Roman" w:hAnsi="Times New Roman" w:cs="Times New Roman"/>
          <w:b/>
          <w:i/>
          <w:sz w:val="24"/>
          <w:szCs w:val="24"/>
        </w:rPr>
        <w:t>тыс. рублей</w:t>
      </w:r>
      <w:r w:rsidRPr="00DB378A">
        <w:rPr>
          <w:rFonts w:ascii="Times New Roman" w:hAnsi="Times New Roman" w:cs="Times New Roman"/>
          <w:sz w:val="24"/>
          <w:szCs w:val="24"/>
        </w:rPr>
        <w:t xml:space="preserve"> (нарушения в применении бюджетной классификации, неправильное отражение в учете по счетам имущества), что составило </w:t>
      </w:r>
      <w:r w:rsidRPr="00DB378A">
        <w:rPr>
          <w:rFonts w:ascii="Times New Roman" w:hAnsi="Times New Roman" w:cs="Times New Roman"/>
          <w:i/>
          <w:sz w:val="24"/>
          <w:szCs w:val="24"/>
        </w:rPr>
        <w:t xml:space="preserve">1,2% </w:t>
      </w:r>
      <w:r w:rsidRPr="00DB378A">
        <w:rPr>
          <w:rFonts w:ascii="Times New Roman" w:hAnsi="Times New Roman" w:cs="Times New Roman"/>
          <w:sz w:val="24"/>
          <w:szCs w:val="24"/>
        </w:rPr>
        <w:t xml:space="preserve">в общем объеме нарушений; </w:t>
      </w:r>
    </w:p>
    <w:p w:rsidR="00EB35C3" w:rsidRPr="00DB378A" w:rsidRDefault="00EB35C3" w:rsidP="00EB35C3">
      <w:pPr>
        <w:pStyle w:val="a5"/>
        <w:numPr>
          <w:ilvl w:val="0"/>
          <w:numId w:val="2"/>
        </w:numPr>
        <w:tabs>
          <w:tab w:val="left" w:pos="0"/>
          <w:tab w:val="left" w:pos="180"/>
        </w:tabs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 xml:space="preserve">нарушения в сфере управления, использования и учета муниципального имущества - на сумму </w:t>
      </w:r>
      <w:r w:rsidRPr="00DB378A">
        <w:rPr>
          <w:rFonts w:ascii="Times New Roman" w:hAnsi="Times New Roman" w:cs="Times New Roman"/>
          <w:b/>
          <w:i/>
          <w:sz w:val="24"/>
          <w:szCs w:val="24"/>
        </w:rPr>
        <w:t>544 865,7</w:t>
      </w:r>
      <w:r w:rsidRPr="00DB37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78A">
        <w:rPr>
          <w:rFonts w:ascii="Times New Roman" w:hAnsi="Times New Roman" w:cs="Times New Roman"/>
          <w:b/>
          <w:i/>
          <w:sz w:val="24"/>
          <w:szCs w:val="24"/>
        </w:rPr>
        <w:t>тыс. рублей</w:t>
      </w:r>
      <w:r w:rsidRPr="00DB378A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Pr="00DB378A">
        <w:rPr>
          <w:rFonts w:ascii="Times New Roman" w:hAnsi="Times New Roman" w:cs="Times New Roman"/>
          <w:i/>
          <w:sz w:val="24"/>
          <w:szCs w:val="24"/>
        </w:rPr>
        <w:t>98,7%</w:t>
      </w:r>
      <w:r w:rsidRPr="00DB378A">
        <w:rPr>
          <w:rFonts w:ascii="Times New Roman" w:hAnsi="Times New Roman" w:cs="Times New Roman"/>
          <w:sz w:val="24"/>
          <w:szCs w:val="24"/>
        </w:rPr>
        <w:t xml:space="preserve"> в общем объеме нарушений, из них нарушения, связанные с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78A">
        <w:rPr>
          <w:rFonts w:ascii="Times New Roman" w:hAnsi="Times New Roman" w:cs="Times New Roman"/>
          <w:sz w:val="24"/>
          <w:szCs w:val="24"/>
        </w:rPr>
        <w:t xml:space="preserve">отражением в учете объектов основных средств, земельных участков, право </w:t>
      </w:r>
      <w:proofErr w:type="gramStart"/>
      <w:r w:rsidRPr="00DB378A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78A">
        <w:rPr>
          <w:rFonts w:ascii="Times New Roman" w:hAnsi="Times New Roman" w:cs="Times New Roman"/>
          <w:sz w:val="24"/>
          <w:szCs w:val="24"/>
        </w:rPr>
        <w:t>на которые зарегистрировано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378A">
        <w:rPr>
          <w:rFonts w:ascii="Times New Roman" w:hAnsi="Times New Roman" w:cs="Times New Roman"/>
          <w:sz w:val="24"/>
          <w:szCs w:val="24"/>
        </w:rPr>
        <w:t xml:space="preserve"> - на сумму </w:t>
      </w:r>
      <w:r w:rsidRPr="00DB378A">
        <w:rPr>
          <w:rFonts w:ascii="Times New Roman" w:hAnsi="Times New Roman" w:cs="Times New Roman"/>
          <w:b/>
          <w:i/>
          <w:sz w:val="24"/>
          <w:szCs w:val="24"/>
        </w:rPr>
        <w:t>542 561,4 тыс. рублей</w:t>
      </w:r>
      <w:r w:rsidRPr="00DB378A">
        <w:rPr>
          <w:rFonts w:ascii="Times New Roman" w:hAnsi="Times New Roman" w:cs="Times New Roman"/>
          <w:sz w:val="24"/>
          <w:szCs w:val="24"/>
        </w:rPr>
        <w:t xml:space="preserve">, и на сумму </w:t>
      </w:r>
      <w:r w:rsidRPr="00DB378A">
        <w:rPr>
          <w:rFonts w:ascii="Times New Roman" w:hAnsi="Times New Roman" w:cs="Times New Roman"/>
          <w:b/>
          <w:i/>
          <w:sz w:val="24"/>
          <w:szCs w:val="24"/>
        </w:rPr>
        <w:t>2 304,3</w:t>
      </w:r>
      <w:r w:rsidRPr="00DB378A">
        <w:rPr>
          <w:rFonts w:ascii="Times New Roman" w:hAnsi="Times New Roman" w:cs="Times New Roman"/>
          <w:sz w:val="24"/>
          <w:szCs w:val="24"/>
        </w:rPr>
        <w:t xml:space="preserve"> </w:t>
      </w:r>
      <w:r w:rsidRPr="00F26DDE">
        <w:rPr>
          <w:rFonts w:ascii="Times New Roman" w:hAnsi="Times New Roman" w:cs="Times New Roman"/>
          <w:b/>
          <w:i/>
          <w:sz w:val="24"/>
          <w:szCs w:val="24"/>
        </w:rPr>
        <w:t>тыс. рублей</w:t>
      </w:r>
      <w:r w:rsidRPr="00DB378A">
        <w:rPr>
          <w:rFonts w:ascii="Times New Roman" w:hAnsi="Times New Roman" w:cs="Times New Roman"/>
          <w:sz w:val="24"/>
          <w:szCs w:val="24"/>
        </w:rPr>
        <w:t xml:space="preserve"> имущество не используется;</w:t>
      </w:r>
    </w:p>
    <w:p w:rsidR="00EB35C3" w:rsidRPr="00DB378A" w:rsidRDefault="00EB35C3" w:rsidP="00EB35C3">
      <w:pPr>
        <w:pStyle w:val="a5"/>
        <w:numPr>
          <w:ilvl w:val="0"/>
          <w:numId w:val="2"/>
        </w:numPr>
        <w:tabs>
          <w:tab w:val="left" w:pos="180"/>
          <w:tab w:val="left" w:pos="709"/>
        </w:tabs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 xml:space="preserve">нецелевое использование бюджетных средств - на сумму </w:t>
      </w:r>
      <w:r w:rsidRPr="00DB378A">
        <w:rPr>
          <w:rFonts w:ascii="Times New Roman" w:hAnsi="Times New Roman" w:cs="Times New Roman"/>
          <w:b/>
          <w:i/>
          <w:sz w:val="24"/>
          <w:szCs w:val="24"/>
        </w:rPr>
        <w:t>38,1 тыс. рублей</w:t>
      </w:r>
      <w:r w:rsidRPr="00DB378A">
        <w:rPr>
          <w:rFonts w:ascii="Times New Roman" w:hAnsi="Times New Roman" w:cs="Times New Roman"/>
          <w:sz w:val="24"/>
          <w:szCs w:val="24"/>
        </w:rPr>
        <w:t xml:space="preserve"> (использование фонда оплаты труда работников, замещающих должности, не являющиеся должностями муниципальной службы, для начисления и выплаты денежного содержания муниципальным служащим свыше установленного норматива), или </w:t>
      </w:r>
      <w:r w:rsidRPr="00DB378A">
        <w:rPr>
          <w:rFonts w:ascii="Times New Roman" w:hAnsi="Times New Roman" w:cs="Times New Roman"/>
          <w:i/>
          <w:sz w:val="24"/>
          <w:szCs w:val="24"/>
        </w:rPr>
        <w:t>0,01%</w:t>
      </w:r>
      <w:r w:rsidRPr="00DB378A">
        <w:rPr>
          <w:rFonts w:ascii="Times New Roman" w:hAnsi="Times New Roman" w:cs="Times New Roman"/>
          <w:sz w:val="24"/>
          <w:szCs w:val="24"/>
        </w:rPr>
        <w:t xml:space="preserve"> в общем объеме нарушений.</w:t>
      </w:r>
    </w:p>
    <w:p w:rsidR="00EB35C3" w:rsidRPr="00DB378A" w:rsidRDefault="00EB35C3" w:rsidP="00EB35C3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>Экспертно-аналитические мероприятия проведены на предмет исполнения бюджетов муниципального района, городского и сельских поселений.</w:t>
      </w:r>
    </w:p>
    <w:p w:rsidR="00EB35C3" w:rsidRPr="00DB378A" w:rsidRDefault="00EB35C3" w:rsidP="00EB35C3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>По результатам экспертно-аналитических мероприятий даны заключения, которые с учетом замечаний и предложений направлены главе муниципального района, главе администрации муниципального района, главе городского поселения, главам администраций и главам сельских поселений.</w:t>
      </w:r>
    </w:p>
    <w:p w:rsidR="00EB35C3" w:rsidRPr="00DB378A" w:rsidRDefault="00EB35C3" w:rsidP="00EB35C3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720"/>
        <w:jc w:val="both"/>
        <w:rPr>
          <w:sz w:val="24"/>
          <w:szCs w:val="24"/>
        </w:rPr>
      </w:pPr>
      <w:r w:rsidRPr="00DB378A">
        <w:rPr>
          <w:sz w:val="24"/>
          <w:szCs w:val="24"/>
        </w:rPr>
        <w:t>В рамках реализации экспертно-аналитических полномочий контрольно-счетной палатой  проведены:</w:t>
      </w:r>
    </w:p>
    <w:p w:rsidR="00EB35C3" w:rsidRPr="00DB378A" w:rsidRDefault="00EB35C3" w:rsidP="00EB35C3">
      <w:pPr>
        <w:pStyle w:val="a5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>внешние проверки годового отчета об исполнении бюджета муниципального района и бюджетов поселений за 2017 год;</w:t>
      </w:r>
    </w:p>
    <w:p w:rsidR="00EB35C3" w:rsidRPr="00DB378A" w:rsidRDefault="00EB35C3" w:rsidP="00EB35C3">
      <w:pPr>
        <w:pStyle w:val="a5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>проверки исполнения бюджета муниципального района и бюджетов поселений за 6 месяцев 2018 года и 9 месяцев 2018 года;</w:t>
      </w:r>
    </w:p>
    <w:p w:rsidR="00EB35C3" w:rsidRPr="00DB378A" w:rsidRDefault="00EB35C3" w:rsidP="00EB35C3">
      <w:pPr>
        <w:pStyle w:val="a5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>экспертиза проектов решений ЛРС «О бюджете муниципального района на 2019 год и плановый период 2020 и 2021 годов», а также экспертиза проектов бюджета городского и сельских поселений.</w:t>
      </w:r>
    </w:p>
    <w:p w:rsidR="00EB35C3" w:rsidRPr="00DB378A" w:rsidRDefault="00EB35C3" w:rsidP="00EB35C3">
      <w:pPr>
        <w:pStyle w:val="11"/>
        <w:tabs>
          <w:tab w:val="left" w:pos="709"/>
        </w:tabs>
        <w:spacing w:after="0" w:line="257" w:lineRule="auto"/>
        <w:ind w:left="0" w:firstLine="709"/>
        <w:jc w:val="both"/>
        <w:rPr>
          <w:lang w:eastAsia="ru-RU"/>
        </w:rPr>
      </w:pPr>
      <w:r w:rsidRPr="00DB378A">
        <w:t xml:space="preserve">Внешние проверки годовых отчетов об исполнении местных бюджетов включали проверку годовой бюджетной отчетности главных администраторов бюджетных средств за 2017 год, которая проведена в соответствии с требованиями статьи 264.4 БК РФ в целях </w:t>
      </w:r>
      <w:r w:rsidRPr="00DB378A">
        <w:rPr>
          <w:lang w:eastAsia="ru-RU"/>
        </w:rPr>
        <w:t>установления законности, степени полноты и достоверности бюджетной отчётности.</w:t>
      </w:r>
    </w:p>
    <w:p w:rsidR="00EB35C3" w:rsidRPr="00DB378A" w:rsidRDefault="00EB35C3" w:rsidP="00EB35C3">
      <w:pPr>
        <w:pStyle w:val="a4"/>
        <w:tabs>
          <w:tab w:val="left" w:pos="709"/>
        </w:tabs>
        <w:spacing w:line="257" w:lineRule="auto"/>
        <w:ind w:firstLine="709"/>
        <w:jc w:val="both"/>
        <w:rPr>
          <w:strike/>
          <w:color w:val="auto"/>
          <w:sz w:val="24"/>
          <w:szCs w:val="24"/>
        </w:rPr>
      </w:pPr>
      <w:r w:rsidRPr="00DB378A">
        <w:rPr>
          <w:color w:val="auto"/>
          <w:sz w:val="24"/>
          <w:szCs w:val="24"/>
        </w:rPr>
        <w:t>Оценка достоверности бюджетной отчетности проводилась на основании представленных форм бюджетной отчетности.</w:t>
      </w:r>
    </w:p>
    <w:p w:rsidR="00EB35C3" w:rsidRDefault="00EB35C3" w:rsidP="00EB35C3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720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Результаты экспертно-аналитических мероприятий отражены в заключениях </w:t>
      </w:r>
      <w:r w:rsidRPr="00DB378A">
        <w:rPr>
          <w:sz w:val="24"/>
          <w:szCs w:val="24"/>
        </w:rPr>
        <w:lastRenderedPageBreak/>
        <w:t>контрольно-счетной палаты и направлены в представительные органы местного самоуправления.</w:t>
      </w:r>
    </w:p>
    <w:p w:rsidR="00EB35C3" w:rsidRPr="00DB378A" w:rsidRDefault="00EB35C3" w:rsidP="004F7457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результатах контрольных и экспертно-аналитических мероприятий размещена на сайте администрации муниципального района.</w:t>
      </w:r>
      <w:r w:rsidR="004F7457">
        <w:rPr>
          <w:sz w:val="24"/>
          <w:szCs w:val="24"/>
        </w:rPr>
        <w:t xml:space="preserve"> По результатам проведенных контрольных мероприятий в адрес руководителей учреждений направлялись представления и предписания, за выполнение которых работниками контрольно-счетной палаты осуществлялся контроль. </w:t>
      </w:r>
    </w:p>
    <w:p w:rsidR="00EB35C3" w:rsidRDefault="00EB35C3" w:rsidP="00EB35C3">
      <w:pPr>
        <w:spacing w:line="257" w:lineRule="auto"/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Всего по результатам контрольных и экспертно-аналитических мероприятий устранены финансовые нарушения на сумму </w:t>
      </w:r>
      <w:r>
        <w:rPr>
          <w:b/>
          <w:i/>
          <w:sz w:val="24"/>
          <w:szCs w:val="24"/>
        </w:rPr>
        <w:t>549 147,6</w:t>
      </w:r>
      <w:r>
        <w:rPr>
          <w:i/>
          <w:sz w:val="24"/>
          <w:szCs w:val="24"/>
        </w:rPr>
        <w:t xml:space="preserve"> </w:t>
      </w:r>
      <w:r w:rsidRPr="00606D84">
        <w:rPr>
          <w:b/>
          <w:i/>
          <w:sz w:val="24"/>
          <w:szCs w:val="24"/>
        </w:rPr>
        <w:t>тыс. рублей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что составляет </w:t>
      </w:r>
      <w:r>
        <w:rPr>
          <w:i/>
          <w:sz w:val="24"/>
          <w:szCs w:val="24"/>
        </w:rPr>
        <w:t>99,5%</w:t>
      </w:r>
      <w:r>
        <w:rPr>
          <w:sz w:val="24"/>
          <w:szCs w:val="24"/>
        </w:rPr>
        <w:t xml:space="preserve"> от общего объема выявленных нарушений. При этом устранены нарушения, связанные с постановкой на учет земельных участков, право </w:t>
      </w:r>
      <w:proofErr w:type="gramStart"/>
      <w:r>
        <w:rPr>
          <w:sz w:val="24"/>
          <w:szCs w:val="24"/>
        </w:rPr>
        <w:t>собственности</w:t>
      </w:r>
      <w:proofErr w:type="gramEnd"/>
      <w:r>
        <w:rPr>
          <w:sz w:val="24"/>
          <w:szCs w:val="24"/>
        </w:rPr>
        <w:t xml:space="preserve"> на которые зарегистрировано, на сумму </w:t>
      </w:r>
      <w:r>
        <w:rPr>
          <w:b/>
          <w:i/>
          <w:sz w:val="24"/>
          <w:szCs w:val="24"/>
        </w:rPr>
        <w:t xml:space="preserve">507 383,0 тыс. рублей </w:t>
      </w:r>
      <w:r>
        <w:rPr>
          <w:sz w:val="24"/>
          <w:szCs w:val="24"/>
        </w:rPr>
        <w:t>и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недвижимого имущества казны - </w:t>
      </w:r>
      <w:r>
        <w:rPr>
          <w:b/>
          <w:i/>
          <w:sz w:val="24"/>
          <w:szCs w:val="24"/>
        </w:rPr>
        <w:t xml:space="preserve">35 138,7 тыс. рублей. </w:t>
      </w:r>
    </w:p>
    <w:p w:rsidR="00EB35C3" w:rsidRDefault="00EB35C3" w:rsidP="00EB35C3">
      <w:pPr>
        <w:spacing w:line="257" w:lineRule="auto"/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Информационное обеспечение деятельности контрольно-счетной палаты </w:t>
      </w:r>
    </w:p>
    <w:p w:rsidR="00EB35C3" w:rsidRDefault="00EB35C3" w:rsidP="00EB35C3">
      <w:pPr>
        <w:spacing w:line="257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со статьей 19 Федерального закона № 6-ФЗ и статьей 20 Положения о контрольно-счетной палате в целях обеспечения доступа к информации о деятельности контрольно-счетной палаты на сайте администрации муниципального района размещено 21 информационное сообщение о проведенных контрольных и экспертно-аналитических мероприятиях и выявленных нарушениях.</w:t>
      </w:r>
    </w:p>
    <w:p w:rsidR="00EB35C3" w:rsidRDefault="00EB35C3" w:rsidP="00EB35C3">
      <w:pPr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контрольно-счетной палатой с участием главы муниципального района, глав администраций сельских поселений, глав сельских поселений и ведущих специалистов по результатам проверок в сельских поселениях проведено совещание, на котором обсуждались типичные нарушения, связанные с применением бюджетной классификации, учетом имущества и нормативных актов по оплате труда.</w:t>
      </w:r>
    </w:p>
    <w:p w:rsidR="00EB35C3" w:rsidRDefault="00EB35C3" w:rsidP="00EB35C3">
      <w:pPr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результатах всех проведенных контрольных мероприятий своевременно направлялась главе администрации муниципального района, главе муниципального района.</w:t>
      </w:r>
    </w:p>
    <w:p w:rsidR="00EB35C3" w:rsidRDefault="00EB35C3" w:rsidP="00EB35C3">
      <w:pPr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контрольных и экспертно-аналитических мероприятий направлено 34 информационных письма в муниципальные органы.</w:t>
      </w:r>
    </w:p>
    <w:p w:rsidR="00EB35C3" w:rsidRDefault="00EB35C3" w:rsidP="00EB35C3">
      <w:pPr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Федерального закона от 25.12.2008 № 273-ФЗ «О противодействии коррупции» сведения о доходах, имуществе и обязательствах имущественного характера сотрудников контрольно-счетной палаты, их супругов и несовершеннолетних детей в установленном порядке размещены на официальном сайте в сети Интернет.</w:t>
      </w:r>
    </w:p>
    <w:p w:rsidR="00EB35C3" w:rsidRDefault="00EB35C3" w:rsidP="00EB35C3">
      <w:pPr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Отчет о деятельности контрольно-счетной палаты за 2018 год был направлен главе муниципального района  и рассмотрен на ЛРС 15.05.2019.</w:t>
      </w:r>
    </w:p>
    <w:p w:rsidR="002211C5" w:rsidRDefault="002211C5" w:rsidP="002211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целях недопущения нарушений в расходовании бюджетных средств, муниципального имущества и ведения бухгалтерского учета на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-</w:t>
      </w:r>
      <w:r w:rsidRPr="002211C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квартал 2019 года запланировано проведение совещания </w:t>
      </w:r>
      <w:r w:rsidR="005F431B">
        <w:rPr>
          <w:sz w:val="24"/>
          <w:szCs w:val="24"/>
        </w:rPr>
        <w:t xml:space="preserve">с </w:t>
      </w:r>
      <w:r>
        <w:rPr>
          <w:sz w:val="24"/>
          <w:szCs w:val="24"/>
        </w:rPr>
        <w:t>бухгалтерами бюджетных учреждений,</w:t>
      </w:r>
      <w:r w:rsidR="00BD2D84">
        <w:rPr>
          <w:sz w:val="24"/>
          <w:szCs w:val="24"/>
        </w:rPr>
        <w:t xml:space="preserve"> унитарных предприятий</w:t>
      </w:r>
      <w:r>
        <w:rPr>
          <w:sz w:val="24"/>
          <w:szCs w:val="24"/>
        </w:rPr>
        <w:t xml:space="preserve">  муниципального района и поселений.</w:t>
      </w:r>
      <w:r w:rsidR="00581164">
        <w:rPr>
          <w:sz w:val="24"/>
          <w:szCs w:val="24"/>
        </w:rPr>
        <w:t xml:space="preserve"> </w:t>
      </w:r>
      <w:bookmarkStart w:id="0" w:name="_GoBack"/>
      <w:bookmarkEnd w:id="0"/>
      <w:r w:rsidR="009B1257">
        <w:rPr>
          <w:sz w:val="24"/>
          <w:szCs w:val="24"/>
        </w:rPr>
        <w:t xml:space="preserve"> </w:t>
      </w:r>
      <w:r w:rsidR="00114DFB">
        <w:rPr>
          <w:sz w:val="24"/>
          <w:szCs w:val="24"/>
        </w:rPr>
        <w:t>В проведении совещания примут участия</w:t>
      </w:r>
      <w:r w:rsidR="005F431B">
        <w:rPr>
          <w:sz w:val="24"/>
          <w:szCs w:val="24"/>
        </w:rPr>
        <w:t xml:space="preserve">: </w:t>
      </w:r>
      <w:r w:rsidR="00114DFB">
        <w:rPr>
          <w:sz w:val="24"/>
          <w:szCs w:val="24"/>
        </w:rPr>
        <w:t>работники отдела финансов и администрации муниципального района.</w:t>
      </w:r>
      <w:r w:rsidR="003D4A6D">
        <w:rPr>
          <w:sz w:val="24"/>
          <w:szCs w:val="24"/>
        </w:rPr>
        <w:t xml:space="preserve"> </w:t>
      </w:r>
      <w:r w:rsidR="00581164">
        <w:rPr>
          <w:sz w:val="24"/>
          <w:szCs w:val="24"/>
        </w:rPr>
        <w:t xml:space="preserve">План о проведения совещаний </w:t>
      </w:r>
      <w:r w:rsidR="005F431B">
        <w:rPr>
          <w:sz w:val="24"/>
          <w:szCs w:val="24"/>
        </w:rPr>
        <w:t xml:space="preserve">согласован и </w:t>
      </w:r>
      <w:r w:rsidR="00581164">
        <w:rPr>
          <w:sz w:val="24"/>
          <w:szCs w:val="24"/>
        </w:rPr>
        <w:t>будет доведен до руководителей учреждений</w:t>
      </w:r>
      <w:r w:rsidR="00BD2D84">
        <w:rPr>
          <w:sz w:val="24"/>
          <w:szCs w:val="24"/>
        </w:rPr>
        <w:t xml:space="preserve"> и предприятий</w:t>
      </w:r>
      <w:r w:rsidR="00581164">
        <w:rPr>
          <w:sz w:val="24"/>
          <w:szCs w:val="24"/>
        </w:rPr>
        <w:t>.</w:t>
      </w:r>
    </w:p>
    <w:p w:rsidR="00581164" w:rsidRDefault="00581164" w:rsidP="00581164">
      <w:pPr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Федерального закона № 6-ФЗ и Положения о контрольно-счетной палате на 2019</w:t>
      </w:r>
      <w:r w:rsidR="00114D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 функции внешнего финансового контроля </w:t>
      </w:r>
      <w:proofErr w:type="gramStart"/>
      <w:r>
        <w:rPr>
          <w:sz w:val="24"/>
          <w:szCs w:val="24"/>
        </w:rPr>
        <w:t>городским</w:t>
      </w:r>
      <w:proofErr w:type="gramEnd"/>
      <w:r>
        <w:rPr>
          <w:sz w:val="24"/>
          <w:szCs w:val="24"/>
        </w:rPr>
        <w:t xml:space="preserve"> и сельскими поселениями переданы контрольно-счетной палате муниципального района.</w:t>
      </w:r>
    </w:p>
    <w:p w:rsidR="00C23300" w:rsidRDefault="00C23300"/>
    <w:p w:rsidR="00C23300" w:rsidRDefault="00C23300" w:rsidP="00C23300"/>
    <w:p w:rsidR="00681BC6" w:rsidRDefault="00681BC6" w:rsidP="00C23300"/>
    <w:p w:rsidR="005C0516" w:rsidRPr="00C23300" w:rsidRDefault="00C23300" w:rsidP="00C23300">
      <w:pPr>
        <w:rPr>
          <w:b/>
          <w:sz w:val="24"/>
          <w:szCs w:val="24"/>
        </w:rPr>
      </w:pPr>
      <w:r w:rsidRPr="00C23300">
        <w:rPr>
          <w:b/>
          <w:sz w:val="24"/>
          <w:szCs w:val="24"/>
        </w:rPr>
        <w:t xml:space="preserve">Председатель контрольно-счетной палаты                                                    </w:t>
      </w:r>
      <w:r w:rsidRPr="00C23300">
        <w:rPr>
          <w:b/>
          <w:sz w:val="24"/>
          <w:szCs w:val="24"/>
        </w:rPr>
        <w:tab/>
        <w:t>В.А. Афонина</w:t>
      </w:r>
    </w:p>
    <w:sectPr w:rsidR="005C0516" w:rsidRPr="00C23300" w:rsidSect="00AD27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9D" w:rsidRDefault="00147A9D" w:rsidP="00AD2764">
      <w:r>
        <w:separator/>
      </w:r>
    </w:p>
  </w:endnote>
  <w:endnote w:type="continuationSeparator" w:id="0">
    <w:p w:rsidR="00147A9D" w:rsidRDefault="00147A9D" w:rsidP="00AD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9D" w:rsidRDefault="00147A9D" w:rsidP="00AD2764">
      <w:r>
        <w:separator/>
      </w:r>
    </w:p>
  </w:footnote>
  <w:footnote w:type="continuationSeparator" w:id="0">
    <w:p w:rsidR="00147A9D" w:rsidRDefault="00147A9D" w:rsidP="00AD2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4676893"/>
      <w:docPartObj>
        <w:docPartGallery w:val="Page Numbers (Top of Page)"/>
        <w:docPartUnique/>
      </w:docPartObj>
    </w:sdtPr>
    <w:sdtEndPr/>
    <w:sdtContent>
      <w:p w:rsidR="00AD2764" w:rsidRDefault="00AD27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257">
          <w:rPr>
            <w:noProof/>
          </w:rPr>
          <w:t>4</w:t>
        </w:r>
        <w:r>
          <w:fldChar w:fldCharType="end"/>
        </w:r>
      </w:p>
    </w:sdtContent>
  </w:sdt>
  <w:p w:rsidR="00AD2764" w:rsidRDefault="00AD27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7E5C"/>
    <w:multiLevelType w:val="hybridMultilevel"/>
    <w:tmpl w:val="C910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D1ADE"/>
    <w:multiLevelType w:val="hybridMultilevel"/>
    <w:tmpl w:val="D6283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863EA6"/>
    <w:multiLevelType w:val="hybridMultilevel"/>
    <w:tmpl w:val="4A14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B9"/>
    <w:rsid w:val="00015C47"/>
    <w:rsid w:val="000B7290"/>
    <w:rsid w:val="00114DFB"/>
    <w:rsid w:val="00147A9D"/>
    <w:rsid w:val="002211C5"/>
    <w:rsid w:val="00266BE5"/>
    <w:rsid w:val="00332F4A"/>
    <w:rsid w:val="003520D9"/>
    <w:rsid w:val="003D4A6D"/>
    <w:rsid w:val="0045397B"/>
    <w:rsid w:val="004F7457"/>
    <w:rsid w:val="005170F8"/>
    <w:rsid w:val="00581164"/>
    <w:rsid w:val="005C0516"/>
    <w:rsid w:val="005F431B"/>
    <w:rsid w:val="00621D30"/>
    <w:rsid w:val="00681BC6"/>
    <w:rsid w:val="00891343"/>
    <w:rsid w:val="00925045"/>
    <w:rsid w:val="009B1257"/>
    <w:rsid w:val="00AD2764"/>
    <w:rsid w:val="00B95D27"/>
    <w:rsid w:val="00BD2D84"/>
    <w:rsid w:val="00C23300"/>
    <w:rsid w:val="00CE0905"/>
    <w:rsid w:val="00EB35C3"/>
    <w:rsid w:val="00F761B9"/>
    <w:rsid w:val="00F8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No Spacing"/>
    <w:uiPriority w:val="1"/>
    <w:qFormat/>
    <w:rsid w:val="00EB35C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B35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EB35C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B3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EB35C3"/>
    <w:pPr>
      <w:spacing w:after="200"/>
      <w:ind w:left="720"/>
    </w:pPr>
    <w:rPr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35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5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D27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D27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27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No Spacing"/>
    <w:uiPriority w:val="1"/>
    <w:qFormat/>
    <w:rsid w:val="00EB35C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B35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EB35C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B35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EB35C3"/>
    <w:pPr>
      <w:spacing w:after="200"/>
      <w:ind w:left="720"/>
    </w:pPr>
    <w:rPr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35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5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D27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D27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27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24</cp:revision>
  <dcterms:created xsi:type="dcterms:W3CDTF">2019-05-15T08:57:00Z</dcterms:created>
  <dcterms:modified xsi:type="dcterms:W3CDTF">2019-05-17T05:05:00Z</dcterms:modified>
</cp:coreProperties>
</file>